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rPr>
          <w:rFonts w:ascii="方正小标宋简体" w:hAnsi="宋体" w:eastAsia="方正小标宋简体"/>
          <w:szCs w:val="21"/>
        </w:rPr>
      </w:pPr>
      <w:bookmarkStart w:id="0" w:name="_Toc15306267"/>
    </w:p>
    <w:p>
      <w:pPr>
        <w:spacing w:line="600" w:lineRule="exact"/>
        <w:jc w:val="center"/>
        <w:rPr>
          <w:rFonts w:ascii="方正小标宋简体" w:hAnsi="宋体" w:eastAsia="方正小标宋简体"/>
          <w:sz w:val="72"/>
          <w:szCs w:val="72"/>
        </w:rPr>
      </w:pPr>
    </w:p>
    <w:p>
      <w:pPr>
        <w:spacing w:line="600" w:lineRule="exact"/>
        <w:jc w:val="center"/>
        <w:rPr>
          <w:rFonts w:ascii="方正小标宋简体" w:hAnsi="宋体" w:eastAsia="方正小标宋简体"/>
          <w:sz w:val="72"/>
          <w:szCs w:val="72"/>
        </w:rPr>
      </w:pPr>
    </w:p>
    <w:p>
      <w:pPr>
        <w:adjustRightInd w:val="0"/>
        <w:snapToGrid w:val="0"/>
        <w:spacing w:line="360" w:lineRule="auto"/>
        <w:jc w:val="center"/>
        <w:outlineLvl w:val="0"/>
        <w:rPr>
          <w:rFonts w:ascii="方正小标宋简体" w:hAnsi="方正小标宋简体" w:eastAsia="方正小标宋简体" w:cs="方正小标宋简体"/>
          <w:sz w:val="72"/>
          <w:szCs w:val="72"/>
        </w:rPr>
      </w:pPr>
      <w:bookmarkStart w:id="1" w:name="_Toc15378441"/>
      <w:bookmarkStart w:id="2" w:name="_Toc15396475"/>
      <w:bookmarkStart w:id="3" w:name="_Toc15377193"/>
      <w:bookmarkStart w:id="4" w:name="_Toc15377425"/>
      <w:bookmarkStart w:id="5" w:name="_Toc15396597"/>
      <w:bookmarkStart w:id="6" w:name="_Toc32302"/>
      <w:r>
        <w:rPr>
          <w:rFonts w:hint="eastAsia" w:ascii="方正小标宋简体" w:hAnsi="方正小标宋简体" w:eastAsia="方正小标宋简体" w:cs="方正小标宋简体"/>
          <w:sz w:val="72"/>
          <w:szCs w:val="72"/>
        </w:rPr>
        <w:t>2023年度</w:t>
      </w:r>
      <w:bookmarkEnd w:id="1"/>
      <w:bookmarkEnd w:id="2"/>
      <w:bookmarkEnd w:id="3"/>
      <w:bookmarkEnd w:id="4"/>
      <w:bookmarkEnd w:id="5"/>
      <w:bookmarkEnd w:id="6"/>
    </w:p>
    <w:p>
      <w:pPr>
        <w:adjustRightInd w:val="0"/>
        <w:snapToGrid w:val="0"/>
        <w:spacing w:line="360" w:lineRule="auto"/>
        <w:jc w:val="center"/>
        <w:outlineLvl w:val="0"/>
        <w:rPr>
          <w:rFonts w:ascii="方正小标宋简体" w:hAnsi="方正小标宋简体" w:eastAsia="方正小标宋简体" w:cs="方正小标宋简体"/>
          <w:sz w:val="72"/>
          <w:szCs w:val="72"/>
        </w:rPr>
      </w:pPr>
      <w:bookmarkStart w:id="7" w:name="_Toc15396598"/>
      <w:bookmarkStart w:id="8" w:name="_Toc15378442"/>
      <w:bookmarkStart w:id="9" w:name="_Toc15396476"/>
      <w:bookmarkStart w:id="10" w:name="_Toc15377426"/>
      <w:bookmarkStart w:id="11" w:name="_Toc28927"/>
      <w:bookmarkStart w:id="12" w:name="_Toc15377194"/>
      <w:r>
        <w:rPr>
          <w:rFonts w:hint="eastAsia" w:ascii="方正小标宋简体" w:hAnsi="方正小标宋简体" w:eastAsia="方正小标宋简体" w:cs="方正小标宋简体"/>
          <w:sz w:val="72"/>
          <w:szCs w:val="72"/>
        </w:rPr>
        <w:t>广元市</w:t>
      </w:r>
      <w:bookmarkEnd w:id="0"/>
      <w:bookmarkStart w:id="13" w:name="_Toc15306268"/>
      <w:r>
        <w:rPr>
          <w:rFonts w:hint="eastAsia" w:ascii="方正小标宋简体" w:hAnsi="方正小标宋简体" w:eastAsia="方正小标宋简体" w:cs="方正小标宋简体"/>
          <w:sz w:val="72"/>
          <w:szCs w:val="72"/>
        </w:rPr>
        <w:t>作家协会单位决算</w:t>
      </w:r>
      <w:bookmarkEnd w:id="7"/>
      <w:bookmarkEnd w:id="8"/>
      <w:bookmarkEnd w:id="9"/>
      <w:bookmarkEnd w:id="10"/>
      <w:bookmarkEnd w:id="11"/>
      <w:bookmarkEnd w:id="12"/>
      <w:bookmarkEnd w:id="13"/>
    </w:p>
    <w:p>
      <w:pPr>
        <w:widowControl/>
        <w:jc w:val="center"/>
        <w:rPr>
          <w:rFonts w:ascii="黑体" w:hAnsi="黑体" w:eastAsia="黑体" w:cstheme="minorBidi"/>
          <w:sz w:val="28"/>
          <w:szCs w:val="28"/>
        </w:rPr>
      </w:pPr>
      <w:r>
        <w:rPr>
          <w:rFonts w:ascii="方正小标宋简体" w:hAnsi="宋体" w:eastAsia="方正小标宋简体"/>
          <w:sz w:val="36"/>
          <w:szCs w:val="36"/>
        </w:rPr>
        <w:br w:type="page"/>
      </w:r>
      <w:r>
        <w:rPr>
          <w:rFonts w:hint="eastAsia" w:ascii="黑体" w:hAnsi="黑体" w:eastAsia="黑体"/>
          <w:sz w:val="48"/>
          <w:szCs w:val="48"/>
        </w:rPr>
        <w:t>目录</w:t>
      </w:r>
    </w:p>
    <w:p>
      <w:pPr>
        <w:pStyle w:val="11"/>
        <w:spacing w:before="0"/>
        <w:rPr>
          <w:color w:val="auto"/>
        </w:rPr>
      </w:pPr>
      <w:r>
        <w:rPr>
          <w:rFonts w:hint="eastAsia"/>
          <w:color w:val="auto"/>
        </w:rPr>
        <w:t>公开时间：2024年10月</w:t>
      </w:r>
      <w:r>
        <w:rPr>
          <w:rFonts w:hint="eastAsia"/>
          <w:color w:val="auto"/>
          <w:lang w:val="en-US" w:eastAsia="zh-CN"/>
        </w:rPr>
        <w:t>14</w:t>
      </w:r>
      <w:r>
        <w:rPr>
          <w:rFonts w:hint="eastAsia"/>
          <w:color w:val="auto"/>
        </w:rPr>
        <w:t>日</w:t>
      </w:r>
    </w:p>
    <w:sdt>
      <w:sdtPr>
        <w:rPr>
          <w:rFonts w:ascii="宋体" w:hAnsi="宋体"/>
        </w:rPr>
        <w:id w:val="147481326"/>
        <w:docPartObj>
          <w:docPartGallery w:val="Table of Contents"/>
          <w:docPartUnique/>
        </w:docPartObj>
      </w:sdtPr>
      <w:sdtEndPr>
        <w:rPr>
          <w:rFonts w:ascii="宋体" w:hAnsi="宋体"/>
          <w:b/>
        </w:rPr>
      </w:sdtEndPr>
      <w:sdtContent>
        <w:p>
          <w:pPr>
            <w:jc w:val="center"/>
            <w:rPr>
              <w:b/>
            </w:rPr>
          </w:pPr>
          <w:bookmarkStart w:id="14" w:name="_Toc15396599"/>
          <w:bookmarkStart w:id="15" w:name="_Toc15377196"/>
          <w:r>
            <w:fldChar w:fldCharType="begin"/>
          </w:r>
          <w:r>
            <w:instrText xml:space="preserve">TOC \o "1-2" \h \u </w:instrText>
          </w:r>
          <w:r>
            <w:fldChar w:fldCharType="separate"/>
          </w:r>
        </w:p>
        <w:p>
          <w:pPr>
            <w:pStyle w:val="33"/>
            <w:tabs>
              <w:tab w:val="right" w:leader="dot" w:pos="8306"/>
            </w:tabs>
            <w:rPr>
              <w:b/>
            </w:rPr>
          </w:pPr>
          <w:r>
            <w:fldChar w:fldCharType="begin"/>
          </w:r>
          <w:r>
            <w:instrText xml:space="preserve"> HYPERLINK \l "_Toc29935" </w:instrText>
          </w:r>
          <w:r>
            <w:fldChar w:fldCharType="separate"/>
          </w:r>
          <w:r>
            <w:rPr>
              <w:rFonts w:hint="eastAsia" w:ascii="黑体" w:hAnsi="黑体" w:eastAsia="黑体"/>
              <w:b/>
            </w:rPr>
            <w:t>第一部分 单位概况</w:t>
          </w:r>
          <w:r>
            <w:rPr>
              <w:b/>
            </w:rPr>
            <w:tab/>
          </w:r>
          <w:r>
            <w:rPr>
              <w:b/>
            </w:rPr>
            <w:fldChar w:fldCharType="begin"/>
          </w:r>
          <w:r>
            <w:rPr>
              <w:b/>
            </w:rPr>
            <w:instrText xml:space="preserve"> PAGEREF _Toc29935 \h </w:instrText>
          </w:r>
          <w:r>
            <w:rPr>
              <w:b/>
            </w:rPr>
            <w:fldChar w:fldCharType="separate"/>
          </w:r>
          <w:r>
            <w:rPr>
              <w:b/>
            </w:rPr>
            <w:t>1</w:t>
          </w:r>
          <w:r>
            <w:rPr>
              <w:b/>
            </w:rPr>
            <w:fldChar w:fldCharType="end"/>
          </w:r>
          <w:r>
            <w:rPr>
              <w:b/>
            </w:rPr>
            <w:fldChar w:fldCharType="end"/>
          </w:r>
        </w:p>
        <w:p>
          <w:pPr>
            <w:pStyle w:val="34"/>
            <w:tabs>
              <w:tab w:val="right" w:leader="dot" w:pos="8306"/>
            </w:tabs>
            <w:ind w:left="420"/>
          </w:pPr>
          <w:r>
            <w:fldChar w:fldCharType="begin"/>
          </w:r>
          <w:r>
            <w:instrText xml:space="preserve"> HYPERLINK \l "_Toc4137" </w:instrText>
          </w:r>
          <w:r>
            <w:fldChar w:fldCharType="separate"/>
          </w:r>
          <w:r>
            <w:rPr>
              <w:rFonts w:hint="eastAsia" w:ascii="黑体" w:hAnsi="黑体" w:eastAsia="黑体"/>
            </w:rPr>
            <w:t>一、主要职责</w:t>
          </w:r>
          <w:r>
            <w:tab/>
          </w:r>
          <w:r>
            <w:fldChar w:fldCharType="begin"/>
          </w:r>
          <w:r>
            <w:instrText xml:space="preserve"> PAGEREF _Toc4137 \h </w:instrText>
          </w:r>
          <w:r>
            <w:fldChar w:fldCharType="separate"/>
          </w:r>
          <w:r>
            <w:t>1</w:t>
          </w:r>
          <w:r>
            <w:fldChar w:fldCharType="end"/>
          </w:r>
          <w:r>
            <w:fldChar w:fldCharType="end"/>
          </w:r>
        </w:p>
        <w:p>
          <w:pPr>
            <w:pStyle w:val="34"/>
            <w:tabs>
              <w:tab w:val="right" w:leader="dot" w:pos="8306"/>
            </w:tabs>
            <w:ind w:left="420"/>
          </w:pPr>
          <w:r>
            <w:fldChar w:fldCharType="begin"/>
          </w:r>
          <w:r>
            <w:instrText xml:space="preserve"> HYPERLINK \l "_Toc21703" </w:instrText>
          </w:r>
          <w:r>
            <w:fldChar w:fldCharType="separate"/>
          </w:r>
          <w:r>
            <w:rPr>
              <w:rFonts w:hint="eastAsia" w:ascii="黑体" w:hAnsi="黑体" w:eastAsia="黑体"/>
            </w:rPr>
            <w:t>二、机构设置</w:t>
          </w:r>
          <w:r>
            <w:tab/>
          </w:r>
          <w:r>
            <w:fldChar w:fldCharType="begin"/>
          </w:r>
          <w:r>
            <w:instrText xml:space="preserve"> PAGEREF _Toc21703 \h </w:instrText>
          </w:r>
          <w:r>
            <w:fldChar w:fldCharType="separate"/>
          </w:r>
          <w:r>
            <w:t>2</w:t>
          </w:r>
          <w:r>
            <w:fldChar w:fldCharType="end"/>
          </w:r>
          <w:r>
            <w:fldChar w:fldCharType="end"/>
          </w:r>
        </w:p>
        <w:p>
          <w:pPr>
            <w:pStyle w:val="33"/>
            <w:tabs>
              <w:tab w:val="right" w:leader="dot" w:pos="8306"/>
            </w:tabs>
            <w:rPr>
              <w:b/>
            </w:rPr>
          </w:pPr>
          <w:r>
            <w:fldChar w:fldCharType="begin"/>
          </w:r>
          <w:r>
            <w:instrText xml:space="preserve"> HYPERLINK \l "_Toc25018" </w:instrText>
          </w:r>
          <w:r>
            <w:fldChar w:fldCharType="separate"/>
          </w:r>
          <w:r>
            <w:rPr>
              <w:rFonts w:hint="eastAsia" w:ascii="黑体" w:hAnsi="黑体" w:eastAsia="黑体"/>
              <w:b/>
              <w:bCs/>
            </w:rPr>
            <w:t>第二部分 2022年度单位决算情况说明</w:t>
          </w:r>
          <w:r>
            <w:rPr>
              <w:b/>
            </w:rPr>
            <w:tab/>
          </w:r>
          <w:r>
            <w:rPr>
              <w:b/>
            </w:rPr>
            <w:fldChar w:fldCharType="begin"/>
          </w:r>
          <w:r>
            <w:rPr>
              <w:b/>
            </w:rPr>
            <w:instrText xml:space="preserve"> PAGEREF _Toc25018 \h </w:instrText>
          </w:r>
          <w:r>
            <w:rPr>
              <w:b/>
            </w:rPr>
            <w:fldChar w:fldCharType="separate"/>
          </w:r>
          <w:r>
            <w:rPr>
              <w:b/>
            </w:rPr>
            <w:t>3</w:t>
          </w:r>
          <w:r>
            <w:rPr>
              <w:b/>
            </w:rPr>
            <w:fldChar w:fldCharType="end"/>
          </w:r>
          <w:r>
            <w:rPr>
              <w:b/>
            </w:rPr>
            <w:fldChar w:fldCharType="end"/>
          </w:r>
        </w:p>
        <w:p>
          <w:pPr>
            <w:pStyle w:val="34"/>
            <w:tabs>
              <w:tab w:val="right" w:leader="dot" w:pos="8306"/>
            </w:tabs>
            <w:ind w:left="420"/>
          </w:pPr>
          <w:r>
            <w:fldChar w:fldCharType="begin"/>
          </w:r>
          <w:r>
            <w:instrText xml:space="preserve"> HYPERLINK \l "_Toc4458" </w:instrText>
          </w:r>
          <w:r>
            <w:fldChar w:fldCharType="separate"/>
          </w:r>
          <w:r>
            <w:rPr>
              <w:rFonts w:ascii="黑体" w:hAnsi="黑体" w:eastAsia="黑体"/>
            </w:rPr>
            <w:t xml:space="preserve">一、 </w:t>
          </w:r>
          <w:r>
            <w:rPr>
              <w:rFonts w:hint="eastAsia" w:ascii="黑体" w:hAnsi="黑体" w:eastAsia="黑体"/>
              <w:szCs w:val="32"/>
            </w:rPr>
            <w:t>收</w:t>
          </w:r>
          <w:r>
            <w:rPr>
              <w:rFonts w:hint="eastAsia" w:ascii="黑体" w:hAnsi="黑体" w:eastAsia="黑体"/>
            </w:rPr>
            <w:t>入支出决算总体情况说明</w:t>
          </w:r>
          <w:r>
            <w:tab/>
          </w:r>
          <w:r>
            <w:fldChar w:fldCharType="begin"/>
          </w:r>
          <w:r>
            <w:instrText xml:space="preserve"> PAGEREF _Toc4458 \h </w:instrText>
          </w:r>
          <w:r>
            <w:fldChar w:fldCharType="separate"/>
          </w:r>
          <w:r>
            <w:t>3</w:t>
          </w:r>
          <w:r>
            <w:fldChar w:fldCharType="end"/>
          </w:r>
          <w:r>
            <w:fldChar w:fldCharType="end"/>
          </w:r>
        </w:p>
        <w:p>
          <w:pPr>
            <w:pStyle w:val="34"/>
            <w:tabs>
              <w:tab w:val="right" w:leader="dot" w:pos="8306"/>
            </w:tabs>
            <w:ind w:left="420"/>
          </w:pPr>
          <w:r>
            <w:fldChar w:fldCharType="begin"/>
          </w:r>
          <w:r>
            <w:instrText xml:space="preserve"> HYPERLINK \l "_Toc2544" </w:instrText>
          </w:r>
          <w:r>
            <w:fldChar w:fldCharType="separate"/>
          </w:r>
          <w:r>
            <w:rPr>
              <w:rFonts w:ascii="黑体" w:hAnsi="黑体" w:eastAsia="黑体"/>
            </w:rPr>
            <w:t xml:space="preserve">二、 </w:t>
          </w:r>
          <w:r>
            <w:rPr>
              <w:rFonts w:hint="eastAsia" w:ascii="黑体" w:hAnsi="黑体" w:eastAsia="黑体"/>
              <w:szCs w:val="32"/>
            </w:rPr>
            <w:t>收</w:t>
          </w:r>
          <w:r>
            <w:rPr>
              <w:rFonts w:hint="eastAsia" w:ascii="黑体" w:hAnsi="黑体" w:eastAsia="黑体"/>
            </w:rPr>
            <w:t>入决算情况说明</w:t>
          </w:r>
          <w:r>
            <w:tab/>
          </w:r>
          <w:r>
            <w:fldChar w:fldCharType="begin"/>
          </w:r>
          <w:r>
            <w:instrText xml:space="preserve"> PAGEREF _Toc2544 \h </w:instrText>
          </w:r>
          <w:r>
            <w:fldChar w:fldCharType="separate"/>
          </w:r>
          <w:r>
            <w:t>3</w:t>
          </w:r>
          <w:r>
            <w:fldChar w:fldCharType="end"/>
          </w:r>
          <w:r>
            <w:fldChar w:fldCharType="end"/>
          </w:r>
        </w:p>
        <w:p>
          <w:pPr>
            <w:pStyle w:val="34"/>
            <w:tabs>
              <w:tab w:val="right" w:leader="dot" w:pos="8306"/>
            </w:tabs>
            <w:ind w:left="420"/>
          </w:pPr>
          <w:r>
            <w:fldChar w:fldCharType="begin"/>
          </w:r>
          <w:r>
            <w:instrText xml:space="preserve"> HYPERLINK \l "_Toc10256" </w:instrText>
          </w:r>
          <w:r>
            <w:fldChar w:fldCharType="separate"/>
          </w:r>
          <w:r>
            <w:rPr>
              <w:rFonts w:ascii="黑体" w:hAnsi="黑体" w:eastAsia="黑体"/>
            </w:rPr>
            <w:t xml:space="preserve">三、 </w:t>
          </w:r>
          <w:r>
            <w:rPr>
              <w:rFonts w:hint="eastAsia" w:ascii="黑体" w:hAnsi="黑体" w:eastAsia="黑体"/>
              <w:szCs w:val="32"/>
            </w:rPr>
            <w:t>支</w:t>
          </w:r>
          <w:r>
            <w:rPr>
              <w:rFonts w:hint="eastAsia" w:ascii="黑体" w:hAnsi="黑体" w:eastAsia="黑体"/>
            </w:rPr>
            <w:t>出决算情况说明</w:t>
          </w:r>
          <w:r>
            <w:tab/>
          </w:r>
          <w:r>
            <w:fldChar w:fldCharType="begin"/>
          </w:r>
          <w:r>
            <w:instrText xml:space="preserve"> PAGEREF _Toc10256 \h </w:instrText>
          </w:r>
          <w:r>
            <w:fldChar w:fldCharType="separate"/>
          </w:r>
          <w:r>
            <w:t>4</w:t>
          </w:r>
          <w:r>
            <w:fldChar w:fldCharType="end"/>
          </w:r>
          <w:r>
            <w:fldChar w:fldCharType="end"/>
          </w:r>
        </w:p>
        <w:p>
          <w:pPr>
            <w:pStyle w:val="34"/>
            <w:tabs>
              <w:tab w:val="right" w:leader="dot" w:pos="8306"/>
            </w:tabs>
            <w:ind w:left="420"/>
          </w:pPr>
          <w:r>
            <w:fldChar w:fldCharType="begin"/>
          </w:r>
          <w:r>
            <w:instrText xml:space="preserve"> HYPERLINK \l "_Toc6986" </w:instrText>
          </w:r>
          <w:r>
            <w:fldChar w:fldCharType="separate"/>
          </w:r>
          <w:r>
            <w:rPr>
              <w:rFonts w:hint="eastAsia" w:ascii="黑体" w:hAnsi="黑体" w:eastAsia="黑体"/>
              <w:szCs w:val="32"/>
            </w:rPr>
            <w:t>四、财</w:t>
          </w:r>
          <w:r>
            <w:rPr>
              <w:rFonts w:hint="eastAsia" w:ascii="黑体" w:hAnsi="黑体" w:eastAsia="黑体"/>
            </w:rPr>
            <w:t>政拨款收入支出决算总体情况说明</w:t>
          </w:r>
          <w:r>
            <w:tab/>
          </w:r>
          <w:r>
            <w:fldChar w:fldCharType="begin"/>
          </w:r>
          <w:r>
            <w:instrText xml:space="preserve"> PAGEREF _Toc6986 \h </w:instrText>
          </w:r>
          <w:r>
            <w:fldChar w:fldCharType="separate"/>
          </w:r>
          <w:r>
            <w:t>4</w:t>
          </w:r>
          <w:r>
            <w:fldChar w:fldCharType="end"/>
          </w:r>
          <w:r>
            <w:fldChar w:fldCharType="end"/>
          </w:r>
        </w:p>
        <w:p>
          <w:pPr>
            <w:pStyle w:val="34"/>
            <w:tabs>
              <w:tab w:val="right" w:leader="dot" w:pos="8306"/>
            </w:tabs>
            <w:ind w:left="420"/>
          </w:pPr>
          <w:r>
            <w:fldChar w:fldCharType="begin"/>
          </w:r>
          <w:r>
            <w:instrText xml:space="preserve"> HYPERLINK \l "_Toc27323" </w:instrText>
          </w:r>
          <w:r>
            <w:fldChar w:fldCharType="separate"/>
          </w:r>
          <w:r>
            <w:rPr>
              <w:rFonts w:hint="eastAsia" w:ascii="黑体" w:hAnsi="黑体" w:eastAsia="黑体"/>
              <w:szCs w:val="32"/>
            </w:rPr>
            <w:t>五、一</w:t>
          </w:r>
          <w:r>
            <w:rPr>
              <w:rFonts w:hint="eastAsia" w:ascii="黑体" w:hAnsi="黑体" w:eastAsia="黑体"/>
            </w:rPr>
            <w:t>般公共预算财政拨款支出决算情况说明</w:t>
          </w:r>
          <w:r>
            <w:tab/>
          </w:r>
          <w:r>
            <w:fldChar w:fldCharType="begin"/>
          </w:r>
          <w:r>
            <w:instrText xml:space="preserve"> PAGEREF _Toc27323 \h </w:instrText>
          </w:r>
          <w:r>
            <w:fldChar w:fldCharType="separate"/>
          </w:r>
          <w:r>
            <w:t>5</w:t>
          </w:r>
          <w:r>
            <w:fldChar w:fldCharType="end"/>
          </w:r>
          <w:r>
            <w:fldChar w:fldCharType="end"/>
          </w:r>
        </w:p>
        <w:p>
          <w:pPr>
            <w:pStyle w:val="34"/>
            <w:tabs>
              <w:tab w:val="right" w:leader="dot" w:pos="8306"/>
            </w:tabs>
            <w:ind w:left="420"/>
          </w:pPr>
          <w:r>
            <w:fldChar w:fldCharType="begin"/>
          </w:r>
          <w:r>
            <w:instrText xml:space="preserve"> HYPERLINK \l "_Toc2880" </w:instrText>
          </w:r>
          <w:r>
            <w:fldChar w:fldCharType="separate"/>
          </w:r>
          <w:r>
            <w:rPr>
              <w:rFonts w:hint="eastAsia" w:ascii="黑体" w:eastAsia="黑体"/>
              <w:szCs w:val="32"/>
            </w:rPr>
            <w:t>六、</w:t>
          </w:r>
          <w:r>
            <w:rPr>
              <w:rFonts w:hint="eastAsia" w:ascii="黑体" w:hAnsi="黑体" w:eastAsia="黑体"/>
              <w:szCs w:val="32"/>
            </w:rPr>
            <w:t>一</w:t>
          </w:r>
          <w:r>
            <w:rPr>
              <w:rFonts w:hint="eastAsia" w:ascii="黑体" w:hAnsi="黑体" w:eastAsia="黑体"/>
            </w:rPr>
            <w:t>般公共预算财政拨款基本支出决算情况说明</w:t>
          </w:r>
          <w:r>
            <w:tab/>
          </w:r>
          <w:r>
            <w:fldChar w:fldCharType="begin"/>
          </w:r>
          <w:r>
            <w:instrText xml:space="preserve"> PAGEREF _Toc2880 \h </w:instrText>
          </w:r>
          <w:r>
            <w:fldChar w:fldCharType="separate"/>
          </w:r>
          <w:r>
            <w:t>7</w:t>
          </w:r>
          <w:r>
            <w:fldChar w:fldCharType="end"/>
          </w:r>
          <w:r>
            <w:fldChar w:fldCharType="end"/>
          </w:r>
        </w:p>
        <w:p>
          <w:pPr>
            <w:pStyle w:val="34"/>
            <w:tabs>
              <w:tab w:val="right" w:leader="dot" w:pos="8306"/>
            </w:tabs>
            <w:ind w:left="420"/>
          </w:pPr>
          <w:r>
            <w:fldChar w:fldCharType="begin"/>
          </w:r>
          <w:r>
            <w:instrText xml:space="preserve"> HYPERLINK \l "_Toc7827" </w:instrText>
          </w:r>
          <w:r>
            <w:fldChar w:fldCharType="separate"/>
          </w:r>
          <w:r>
            <w:rPr>
              <w:rFonts w:hint="eastAsia" w:ascii="黑体" w:eastAsia="黑体"/>
              <w:szCs w:val="32"/>
            </w:rPr>
            <w:t>七、</w:t>
          </w:r>
          <w:r>
            <w:rPr>
              <w:rFonts w:hint="eastAsia" w:ascii="黑体" w:hAnsi="黑体" w:eastAsia="黑体"/>
            </w:rPr>
            <w:t>财政拨款“三公”经费支出决算情况说明</w:t>
          </w:r>
          <w:r>
            <w:tab/>
          </w:r>
          <w:r>
            <w:rPr>
              <w:rFonts w:hint="eastAsia"/>
            </w:rPr>
            <w:t>8</w:t>
          </w:r>
          <w:r>
            <w:rPr>
              <w:rFonts w:hint="eastAsia"/>
            </w:rPr>
            <w:fldChar w:fldCharType="end"/>
          </w:r>
        </w:p>
        <w:p>
          <w:pPr>
            <w:pStyle w:val="34"/>
            <w:tabs>
              <w:tab w:val="right" w:leader="dot" w:pos="8306"/>
            </w:tabs>
            <w:ind w:left="420"/>
          </w:pPr>
          <w:r>
            <w:fldChar w:fldCharType="begin"/>
          </w:r>
          <w:r>
            <w:instrText xml:space="preserve"> HYPERLINK \l "_Toc24995" </w:instrText>
          </w:r>
          <w:r>
            <w:fldChar w:fldCharType="separate"/>
          </w:r>
          <w:r>
            <w:rPr>
              <w:rFonts w:hint="eastAsia" w:ascii="黑体" w:hAnsi="黑体" w:eastAsia="黑体"/>
              <w:kern w:val="2"/>
              <w:szCs w:val="24"/>
              <w:lang w:val="zh-CN"/>
            </w:rPr>
            <w:t>八、政府性基金预算支出决算情况说明</w:t>
          </w:r>
          <w:r>
            <w:tab/>
          </w:r>
          <w:r>
            <w:fldChar w:fldCharType="begin"/>
          </w:r>
          <w:r>
            <w:instrText xml:space="preserve"> PAGEREF _Toc24995 \h </w:instrText>
          </w:r>
          <w:r>
            <w:fldChar w:fldCharType="separate"/>
          </w:r>
          <w:r>
            <w:t>9</w:t>
          </w:r>
          <w:r>
            <w:fldChar w:fldCharType="end"/>
          </w:r>
          <w:r>
            <w:fldChar w:fldCharType="end"/>
          </w:r>
        </w:p>
        <w:p>
          <w:pPr>
            <w:pStyle w:val="34"/>
            <w:tabs>
              <w:tab w:val="right" w:leader="dot" w:pos="8306"/>
            </w:tabs>
            <w:ind w:left="420"/>
          </w:pPr>
          <w:r>
            <w:fldChar w:fldCharType="begin"/>
          </w:r>
          <w:r>
            <w:instrText xml:space="preserve"> HYPERLINK \l "_Toc20048" </w:instrText>
          </w:r>
          <w:r>
            <w:fldChar w:fldCharType="separate"/>
          </w:r>
          <w:r>
            <w:rPr>
              <w:rFonts w:hint="eastAsia" w:ascii="黑体" w:hAnsi="黑体" w:eastAsia="黑体"/>
              <w:kern w:val="2"/>
              <w:szCs w:val="24"/>
              <w:lang w:val="zh-CN"/>
            </w:rPr>
            <w:t>九、国有资本经营预算支出决算情况说明</w:t>
          </w:r>
          <w:r>
            <w:tab/>
          </w:r>
          <w:r>
            <w:fldChar w:fldCharType="begin"/>
          </w:r>
          <w:r>
            <w:instrText xml:space="preserve"> PAGEREF _Toc20048 \h </w:instrText>
          </w:r>
          <w:r>
            <w:fldChar w:fldCharType="separate"/>
          </w:r>
          <w:r>
            <w:t>9</w:t>
          </w:r>
          <w:r>
            <w:fldChar w:fldCharType="end"/>
          </w:r>
          <w:r>
            <w:fldChar w:fldCharType="end"/>
          </w:r>
        </w:p>
        <w:p>
          <w:pPr>
            <w:pStyle w:val="34"/>
            <w:tabs>
              <w:tab w:val="right" w:leader="dot" w:pos="8306"/>
            </w:tabs>
            <w:ind w:left="420"/>
          </w:pPr>
          <w:r>
            <w:fldChar w:fldCharType="begin"/>
          </w:r>
          <w:r>
            <w:instrText xml:space="preserve"> HYPERLINK \l "_Toc8163" </w:instrText>
          </w:r>
          <w:r>
            <w:fldChar w:fldCharType="separate"/>
          </w:r>
          <w:r>
            <w:rPr>
              <w:rFonts w:hint="eastAsia" w:ascii="黑体" w:hAnsi="黑体" w:eastAsia="黑体"/>
              <w:kern w:val="2"/>
              <w:szCs w:val="24"/>
              <w:lang w:val="zh-CN"/>
            </w:rPr>
            <w:t>十、其他重要事项的情况说明</w:t>
          </w:r>
          <w:r>
            <w:tab/>
          </w:r>
          <w:r>
            <w:fldChar w:fldCharType="begin"/>
          </w:r>
          <w:r>
            <w:instrText xml:space="preserve"> PAGEREF _Toc8163 \h </w:instrText>
          </w:r>
          <w:r>
            <w:fldChar w:fldCharType="separate"/>
          </w:r>
          <w:r>
            <w:t>10</w:t>
          </w:r>
          <w:r>
            <w:fldChar w:fldCharType="end"/>
          </w:r>
          <w:r>
            <w:fldChar w:fldCharType="end"/>
          </w:r>
        </w:p>
        <w:p>
          <w:pPr>
            <w:pStyle w:val="33"/>
            <w:tabs>
              <w:tab w:val="right" w:leader="dot" w:pos="8306"/>
            </w:tabs>
            <w:rPr>
              <w:b/>
            </w:rPr>
          </w:pPr>
          <w:r>
            <w:fldChar w:fldCharType="begin"/>
          </w:r>
          <w:r>
            <w:instrText xml:space="preserve"> HYPERLINK \l "_Toc30922" </w:instrText>
          </w:r>
          <w:r>
            <w:fldChar w:fldCharType="separate"/>
          </w:r>
          <w:r>
            <w:rPr>
              <w:rFonts w:hint="eastAsia" w:ascii="黑体" w:hAnsi="黑体" w:eastAsia="黑体" w:cs="黑体"/>
              <w:b/>
              <w:szCs w:val="44"/>
            </w:rPr>
            <w:t xml:space="preserve">第三部分 </w:t>
          </w:r>
          <w:r>
            <w:rPr>
              <w:rFonts w:hint="eastAsia" w:ascii="黑体" w:hAnsi="黑体" w:eastAsia="黑体"/>
              <w:b/>
              <w:szCs w:val="44"/>
            </w:rPr>
            <w:t>名</w:t>
          </w:r>
          <w:r>
            <w:rPr>
              <w:rFonts w:hint="eastAsia" w:ascii="黑体" w:hAnsi="黑体" w:eastAsia="黑体"/>
              <w:b/>
            </w:rPr>
            <w:t>词解释</w:t>
          </w:r>
          <w:r>
            <w:rPr>
              <w:b/>
            </w:rPr>
            <w:tab/>
          </w:r>
          <w:r>
            <w:rPr>
              <w:b/>
            </w:rPr>
            <w:fldChar w:fldCharType="begin"/>
          </w:r>
          <w:r>
            <w:rPr>
              <w:b/>
            </w:rPr>
            <w:instrText xml:space="preserve"> PAGEREF _Toc30922 \h </w:instrText>
          </w:r>
          <w:r>
            <w:rPr>
              <w:b/>
            </w:rPr>
            <w:fldChar w:fldCharType="separate"/>
          </w:r>
          <w:r>
            <w:rPr>
              <w:b/>
            </w:rPr>
            <w:t>11</w:t>
          </w:r>
          <w:r>
            <w:rPr>
              <w:b/>
            </w:rPr>
            <w:fldChar w:fldCharType="end"/>
          </w:r>
          <w:r>
            <w:rPr>
              <w:b/>
            </w:rPr>
            <w:fldChar w:fldCharType="end"/>
          </w:r>
        </w:p>
        <w:p>
          <w:pPr>
            <w:pStyle w:val="33"/>
            <w:tabs>
              <w:tab w:val="right" w:leader="dot" w:pos="8306"/>
            </w:tabs>
            <w:rPr>
              <w:b/>
            </w:rPr>
          </w:pPr>
          <w:r>
            <w:fldChar w:fldCharType="begin"/>
          </w:r>
          <w:r>
            <w:instrText xml:space="preserve"> HYPERLINK \l "_Toc2018" </w:instrText>
          </w:r>
          <w:r>
            <w:fldChar w:fldCharType="separate"/>
          </w:r>
          <w:r>
            <w:rPr>
              <w:rFonts w:hint="eastAsia" w:ascii="黑体" w:hAnsi="黑体" w:eastAsia="黑体"/>
              <w:b/>
              <w:szCs w:val="44"/>
            </w:rPr>
            <w:t>第</w:t>
          </w:r>
          <w:r>
            <w:rPr>
              <w:rFonts w:hint="eastAsia" w:ascii="黑体" w:hAnsi="黑体" w:eastAsia="黑体"/>
              <w:b/>
            </w:rPr>
            <w:t>四部分 附件</w:t>
          </w:r>
          <w:r>
            <w:rPr>
              <w:b/>
            </w:rPr>
            <w:tab/>
          </w:r>
          <w:r>
            <w:rPr>
              <w:b/>
            </w:rPr>
            <w:fldChar w:fldCharType="begin"/>
          </w:r>
          <w:r>
            <w:rPr>
              <w:b/>
            </w:rPr>
            <w:instrText xml:space="preserve"> PAGEREF _Toc2018 \h </w:instrText>
          </w:r>
          <w:r>
            <w:rPr>
              <w:b/>
            </w:rPr>
            <w:fldChar w:fldCharType="separate"/>
          </w:r>
          <w:r>
            <w:rPr>
              <w:b/>
            </w:rPr>
            <w:t>14</w:t>
          </w:r>
          <w:r>
            <w:rPr>
              <w:b/>
            </w:rPr>
            <w:fldChar w:fldCharType="end"/>
          </w:r>
          <w:r>
            <w:rPr>
              <w:b/>
            </w:rPr>
            <w:fldChar w:fldCharType="end"/>
          </w:r>
        </w:p>
        <w:p>
          <w:pPr>
            <w:pStyle w:val="33"/>
            <w:tabs>
              <w:tab w:val="right" w:leader="dot" w:pos="8306"/>
            </w:tabs>
            <w:rPr>
              <w:b/>
            </w:rPr>
          </w:pPr>
          <w:r>
            <w:fldChar w:fldCharType="begin"/>
          </w:r>
          <w:r>
            <w:instrText xml:space="preserve"> HYPERLINK \l "_Toc26101" </w:instrText>
          </w:r>
          <w:r>
            <w:fldChar w:fldCharType="separate"/>
          </w:r>
          <w:r>
            <w:rPr>
              <w:rFonts w:hint="eastAsia" w:ascii="黑体" w:hAnsi="黑体" w:eastAsia="黑体"/>
              <w:b/>
              <w:szCs w:val="44"/>
            </w:rPr>
            <w:t>第</w:t>
          </w:r>
          <w:r>
            <w:rPr>
              <w:rFonts w:hint="eastAsia" w:ascii="黑体" w:hAnsi="黑体" w:eastAsia="黑体"/>
              <w:b/>
            </w:rPr>
            <w:t>五部分 附表</w:t>
          </w:r>
          <w:r>
            <w:rPr>
              <w:b/>
            </w:rPr>
            <w:tab/>
          </w:r>
          <w:r>
            <w:rPr>
              <w:b/>
            </w:rPr>
            <w:fldChar w:fldCharType="begin"/>
          </w:r>
          <w:r>
            <w:rPr>
              <w:b/>
            </w:rPr>
            <w:instrText xml:space="preserve"> PAGEREF _Toc26101 \h </w:instrText>
          </w:r>
          <w:r>
            <w:rPr>
              <w:b/>
            </w:rPr>
            <w:fldChar w:fldCharType="separate"/>
          </w:r>
          <w:r>
            <w:rPr>
              <w:b/>
            </w:rPr>
            <w:t>16</w:t>
          </w:r>
          <w:r>
            <w:rPr>
              <w:b/>
            </w:rPr>
            <w:fldChar w:fldCharType="end"/>
          </w:r>
          <w:r>
            <w:rPr>
              <w:b/>
            </w:rPr>
            <w:fldChar w:fldCharType="end"/>
          </w:r>
        </w:p>
        <w:p>
          <w:pPr>
            <w:pStyle w:val="34"/>
            <w:tabs>
              <w:tab w:val="right" w:leader="dot" w:pos="8306"/>
            </w:tabs>
            <w:ind w:left="420"/>
          </w:pPr>
          <w:r>
            <w:fldChar w:fldCharType="begin"/>
          </w:r>
          <w:r>
            <w:instrText xml:space="preserve"> HYPERLINK \l "_Toc28970" </w:instrText>
          </w:r>
          <w:r>
            <w:fldChar w:fldCharType="separate"/>
          </w:r>
          <w:r>
            <w:rPr>
              <w:rFonts w:hint="eastAsia" w:ascii="仿宋" w:hAnsi="仿宋" w:eastAsia="仿宋"/>
            </w:rPr>
            <w:t>一、收入支出决算总表</w:t>
          </w:r>
          <w:r>
            <w:tab/>
          </w:r>
          <w:r>
            <w:fldChar w:fldCharType="begin"/>
          </w:r>
          <w:r>
            <w:instrText xml:space="preserve"> PAGEREF _Toc28970 \h </w:instrText>
          </w:r>
          <w:r>
            <w:fldChar w:fldCharType="separate"/>
          </w:r>
          <w:r>
            <w:t>31</w:t>
          </w:r>
          <w:r>
            <w:fldChar w:fldCharType="end"/>
          </w:r>
          <w:r>
            <w:fldChar w:fldCharType="end"/>
          </w:r>
        </w:p>
        <w:p>
          <w:pPr>
            <w:pStyle w:val="34"/>
            <w:tabs>
              <w:tab w:val="right" w:leader="dot" w:pos="8306"/>
            </w:tabs>
            <w:ind w:left="420"/>
          </w:pPr>
          <w:r>
            <w:fldChar w:fldCharType="begin"/>
          </w:r>
          <w:r>
            <w:instrText xml:space="preserve"> HYPERLINK \l "_Toc24637" </w:instrText>
          </w:r>
          <w:r>
            <w:fldChar w:fldCharType="separate"/>
          </w:r>
          <w:r>
            <w:rPr>
              <w:rFonts w:hint="eastAsia" w:ascii="仿宋" w:hAnsi="仿宋" w:eastAsia="仿宋"/>
            </w:rPr>
            <w:t>二、收入决算表</w:t>
          </w:r>
          <w:r>
            <w:tab/>
          </w:r>
          <w:r>
            <w:fldChar w:fldCharType="begin"/>
          </w:r>
          <w:r>
            <w:instrText xml:space="preserve"> PAGEREF _Toc24637 \h </w:instrText>
          </w:r>
          <w:r>
            <w:fldChar w:fldCharType="separate"/>
          </w:r>
          <w:r>
            <w:t>31</w:t>
          </w:r>
          <w:r>
            <w:fldChar w:fldCharType="end"/>
          </w:r>
          <w:r>
            <w:fldChar w:fldCharType="end"/>
          </w:r>
        </w:p>
        <w:p>
          <w:pPr>
            <w:pStyle w:val="34"/>
            <w:tabs>
              <w:tab w:val="right" w:leader="dot" w:pos="8306"/>
            </w:tabs>
            <w:ind w:left="420"/>
          </w:pPr>
          <w:r>
            <w:fldChar w:fldCharType="begin"/>
          </w:r>
          <w:r>
            <w:instrText xml:space="preserve"> HYPERLINK \l "_Toc5090" </w:instrText>
          </w:r>
          <w:r>
            <w:fldChar w:fldCharType="separate"/>
          </w:r>
          <w:r>
            <w:rPr>
              <w:rFonts w:hint="eastAsia" w:ascii="仿宋" w:hAnsi="仿宋" w:eastAsia="仿宋"/>
            </w:rPr>
            <w:t>三、支出决算表</w:t>
          </w:r>
          <w:r>
            <w:tab/>
          </w:r>
          <w:r>
            <w:fldChar w:fldCharType="begin"/>
          </w:r>
          <w:r>
            <w:instrText xml:space="preserve"> PAGEREF _Toc5090 \h </w:instrText>
          </w:r>
          <w:r>
            <w:fldChar w:fldCharType="separate"/>
          </w:r>
          <w:r>
            <w:t>31</w:t>
          </w:r>
          <w:r>
            <w:fldChar w:fldCharType="end"/>
          </w:r>
          <w:r>
            <w:fldChar w:fldCharType="end"/>
          </w:r>
        </w:p>
        <w:p>
          <w:pPr>
            <w:pStyle w:val="34"/>
            <w:tabs>
              <w:tab w:val="right" w:leader="dot" w:pos="8306"/>
            </w:tabs>
            <w:ind w:left="420"/>
          </w:pPr>
          <w:r>
            <w:fldChar w:fldCharType="begin"/>
          </w:r>
          <w:r>
            <w:instrText xml:space="preserve"> HYPERLINK \l "_Toc7556" </w:instrText>
          </w:r>
          <w:r>
            <w:fldChar w:fldCharType="separate"/>
          </w:r>
          <w:r>
            <w:rPr>
              <w:rFonts w:hint="eastAsia" w:ascii="仿宋" w:hAnsi="仿宋" w:eastAsia="仿宋"/>
            </w:rPr>
            <w:t>四、财政拨款收入支出决算总表</w:t>
          </w:r>
          <w:r>
            <w:tab/>
          </w:r>
          <w:r>
            <w:fldChar w:fldCharType="begin"/>
          </w:r>
          <w:r>
            <w:instrText xml:space="preserve"> PAGEREF _Toc7556 \h </w:instrText>
          </w:r>
          <w:r>
            <w:fldChar w:fldCharType="separate"/>
          </w:r>
          <w:r>
            <w:t>31</w:t>
          </w:r>
          <w:r>
            <w:fldChar w:fldCharType="end"/>
          </w:r>
          <w:r>
            <w:fldChar w:fldCharType="end"/>
          </w:r>
        </w:p>
        <w:p>
          <w:pPr>
            <w:pStyle w:val="34"/>
            <w:tabs>
              <w:tab w:val="right" w:leader="dot" w:pos="8306"/>
            </w:tabs>
            <w:ind w:left="420"/>
          </w:pPr>
          <w:r>
            <w:fldChar w:fldCharType="begin"/>
          </w:r>
          <w:r>
            <w:instrText xml:space="preserve"> HYPERLINK \l "_Toc23904" </w:instrText>
          </w:r>
          <w:r>
            <w:fldChar w:fldCharType="separate"/>
          </w:r>
          <w:r>
            <w:rPr>
              <w:rFonts w:hint="eastAsia" w:ascii="仿宋" w:hAnsi="仿宋" w:eastAsia="仿宋"/>
            </w:rPr>
            <w:t>五、财政拨款支出决算明细表</w:t>
          </w:r>
          <w:r>
            <w:tab/>
          </w:r>
          <w:r>
            <w:fldChar w:fldCharType="begin"/>
          </w:r>
          <w:r>
            <w:instrText xml:space="preserve"> PAGEREF _Toc23904 \h </w:instrText>
          </w:r>
          <w:r>
            <w:fldChar w:fldCharType="separate"/>
          </w:r>
          <w:r>
            <w:t>31</w:t>
          </w:r>
          <w:r>
            <w:fldChar w:fldCharType="end"/>
          </w:r>
          <w:r>
            <w:fldChar w:fldCharType="end"/>
          </w:r>
        </w:p>
        <w:p>
          <w:pPr>
            <w:pStyle w:val="34"/>
            <w:tabs>
              <w:tab w:val="right" w:leader="dot" w:pos="8306"/>
            </w:tabs>
            <w:ind w:left="420"/>
          </w:pPr>
          <w:r>
            <w:fldChar w:fldCharType="begin"/>
          </w:r>
          <w:r>
            <w:instrText xml:space="preserve"> HYPERLINK \l "_Toc26682" </w:instrText>
          </w:r>
          <w:r>
            <w:fldChar w:fldCharType="separate"/>
          </w:r>
          <w:r>
            <w:rPr>
              <w:rFonts w:hint="eastAsia" w:ascii="仿宋" w:hAnsi="仿宋" w:eastAsia="仿宋"/>
            </w:rPr>
            <w:t>六、一般公共预算财政拨款支出决算表</w:t>
          </w:r>
          <w:r>
            <w:tab/>
          </w:r>
          <w:r>
            <w:fldChar w:fldCharType="begin"/>
          </w:r>
          <w:r>
            <w:instrText xml:space="preserve"> PAGEREF _Toc26682 \h </w:instrText>
          </w:r>
          <w:r>
            <w:fldChar w:fldCharType="separate"/>
          </w:r>
          <w:r>
            <w:t>31</w:t>
          </w:r>
          <w:r>
            <w:fldChar w:fldCharType="end"/>
          </w:r>
          <w:r>
            <w:fldChar w:fldCharType="end"/>
          </w:r>
        </w:p>
        <w:p>
          <w:pPr>
            <w:pStyle w:val="34"/>
            <w:tabs>
              <w:tab w:val="right" w:leader="dot" w:pos="8306"/>
            </w:tabs>
            <w:ind w:left="420"/>
          </w:pPr>
          <w:r>
            <w:fldChar w:fldCharType="begin"/>
          </w:r>
          <w:r>
            <w:instrText xml:space="preserve"> HYPERLINK \l "_Toc1614" </w:instrText>
          </w:r>
          <w:r>
            <w:fldChar w:fldCharType="separate"/>
          </w:r>
          <w:r>
            <w:rPr>
              <w:rFonts w:hint="eastAsia" w:ascii="仿宋" w:hAnsi="仿宋" w:eastAsia="仿宋"/>
            </w:rPr>
            <w:t>七、一般公共预算财政拨款支出决算明细表</w:t>
          </w:r>
          <w:r>
            <w:tab/>
          </w:r>
          <w:r>
            <w:fldChar w:fldCharType="begin"/>
          </w:r>
          <w:r>
            <w:instrText xml:space="preserve"> PAGEREF _Toc1614 \h </w:instrText>
          </w:r>
          <w:r>
            <w:fldChar w:fldCharType="separate"/>
          </w:r>
          <w:r>
            <w:t>31</w:t>
          </w:r>
          <w:r>
            <w:fldChar w:fldCharType="end"/>
          </w:r>
          <w:r>
            <w:fldChar w:fldCharType="end"/>
          </w:r>
        </w:p>
        <w:p>
          <w:pPr>
            <w:pStyle w:val="34"/>
            <w:tabs>
              <w:tab w:val="right" w:leader="dot" w:pos="8306"/>
            </w:tabs>
            <w:ind w:left="420"/>
          </w:pPr>
          <w:r>
            <w:fldChar w:fldCharType="begin"/>
          </w:r>
          <w:r>
            <w:instrText xml:space="preserve"> HYPERLINK \l "_Toc22105" </w:instrText>
          </w:r>
          <w:r>
            <w:fldChar w:fldCharType="separate"/>
          </w:r>
          <w:r>
            <w:rPr>
              <w:rFonts w:hint="eastAsia" w:ascii="仿宋" w:hAnsi="仿宋" w:eastAsia="仿宋"/>
            </w:rPr>
            <w:t>八、一般公共预算财政拨款基本支出决算表</w:t>
          </w:r>
          <w:r>
            <w:tab/>
          </w:r>
          <w:r>
            <w:fldChar w:fldCharType="begin"/>
          </w:r>
          <w:r>
            <w:instrText xml:space="preserve"> PAGEREF _Toc22105 \h </w:instrText>
          </w:r>
          <w:r>
            <w:fldChar w:fldCharType="separate"/>
          </w:r>
          <w:r>
            <w:t>31</w:t>
          </w:r>
          <w:r>
            <w:fldChar w:fldCharType="end"/>
          </w:r>
          <w:r>
            <w:fldChar w:fldCharType="end"/>
          </w:r>
        </w:p>
        <w:p>
          <w:pPr>
            <w:pStyle w:val="34"/>
            <w:tabs>
              <w:tab w:val="right" w:leader="dot" w:pos="8306"/>
            </w:tabs>
            <w:ind w:left="420"/>
          </w:pPr>
          <w:r>
            <w:fldChar w:fldCharType="begin"/>
          </w:r>
          <w:r>
            <w:instrText xml:space="preserve"> HYPERLINK \l "_Toc29914" </w:instrText>
          </w:r>
          <w:r>
            <w:fldChar w:fldCharType="separate"/>
          </w:r>
          <w:r>
            <w:rPr>
              <w:rFonts w:hint="eastAsia" w:ascii="仿宋" w:hAnsi="仿宋" w:eastAsia="仿宋"/>
            </w:rPr>
            <w:t>九、一般公共预算财政拨款项目支出决算表</w:t>
          </w:r>
          <w:r>
            <w:tab/>
          </w:r>
          <w:r>
            <w:fldChar w:fldCharType="begin"/>
          </w:r>
          <w:r>
            <w:instrText xml:space="preserve"> PAGEREF _Toc29914 \h </w:instrText>
          </w:r>
          <w:r>
            <w:fldChar w:fldCharType="separate"/>
          </w:r>
          <w:r>
            <w:t>31</w:t>
          </w:r>
          <w:r>
            <w:fldChar w:fldCharType="end"/>
          </w:r>
          <w:r>
            <w:fldChar w:fldCharType="end"/>
          </w:r>
        </w:p>
        <w:p>
          <w:pPr>
            <w:pStyle w:val="34"/>
            <w:tabs>
              <w:tab w:val="right" w:leader="dot" w:pos="8306"/>
            </w:tabs>
            <w:ind w:left="420"/>
          </w:pPr>
          <w:r>
            <w:fldChar w:fldCharType="begin"/>
          </w:r>
          <w:r>
            <w:instrText xml:space="preserve"> HYPERLINK \l "_Toc1312" </w:instrText>
          </w:r>
          <w:r>
            <w:fldChar w:fldCharType="separate"/>
          </w:r>
          <w:r>
            <w:rPr>
              <w:rFonts w:hint="eastAsia" w:ascii="仿宋" w:hAnsi="仿宋" w:eastAsia="仿宋"/>
            </w:rPr>
            <w:t>十、政府性基金预算财政拨款收入支出决算表</w:t>
          </w:r>
          <w:r>
            <w:tab/>
          </w:r>
          <w:r>
            <w:fldChar w:fldCharType="begin"/>
          </w:r>
          <w:r>
            <w:instrText xml:space="preserve"> PAGEREF _Toc1312 \h </w:instrText>
          </w:r>
          <w:r>
            <w:fldChar w:fldCharType="separate"/>
          </w:r>
          <w:r>
            <w:t>31</w:t>
          </w:r>
          <w:r>
            <w:fldChar w:fldCharType="end"/>
          </w:r>
          <w:r>
            <w:fldChar w:fldCharType="end"/>
          </w:r>
        </w:p>
        <w:p>
          <w:pPr>
            <w:pStyle w:val="34"/>
            <w:tabs>
              <w:tab w:val="right" w:leader="dot" w:pos="8306"/>
            </w:tabs>
            <w:ind w:left="420"/>
          </w:pPr>
          <w:r>
            <w:fldChar w:fldCharType="begin"/>
          </w:r>
          <w:r>
            <w:instrText xml:space="preserve"> HYPERLINK \l "_Toc2529" </w:instrText>
          </w:r>
          <w:r>
            <w:fldChar w:fldCharType="separate"/>
          </w:r>
          <w:r>
            <w:rPr>
              <w:rFonts w:hint="eastAsia" w:ascii="仿宋" w:hAnsi="仿宋" w:eastAsia="仿宋"/>
            </w:rPr>
            <w:t>十一、国有资本经营预算财政拨款收入支出决算表</w:t>
          </w:r>
          <w:r>
            <w:tab/>
          </w:r>
          <w:r>
            <w:fldChar w:fldCharType="begin"/>
          </w:r>
          <w:r>
            <w:instrText xml:space="preserve"> PAGEREF _Toc2529 \h </w:instrText>
          </w:r>
          <w:r>
            <w:fldChar w:fldCharType="separate"/>
          </w:r>
          <w:r>
            <w:t>31</w:t>
          </w:r>
          <w:r>
            <w:fldChar w:fldCharType="end"/>
          </w:r>
          <w:r>
            <w:fldChar w:fldCharType="end"/>
          </w:r>
        </w:p>
        <w:p>
          <w:pPr>
            <w:pStyle w:val="34"/>
            <w:tabs>
              <w:tab w:val="right" w:leader="dot" w:pos="8306"/>
            </w:tabs>
            <w:ind w:left="420"/>
          </w:pPr>
          <w:r>
            <w:fldChar w:fldCharType="begin"/>
          </w:r>
          <w:r>
            <w:instrText xml:space="preserve"> HYPERLINK \l "_Toc12308" </w:instrText>
          </w:r>
          <w:r>
            <w:fldChar w:fldCharType="separate"/>
          </w:r>
          <w:r>
            <w:rPr>
              <w:rFonts w:hint="eastAsia" w:ascii="仿宋" w:hAnsi="仿宋" w:eastAsia="仿宋"/>
            </w:rPr>
            <w:t>十二、国有资本经营预算财政拨款支出决算表</w:t>
          </w:r>
          <w:r>
            <w:tab/>
          </w:r>
          <w:r>
            <w:fldChar w:fldCharType="begin"/>
          </w:r>
          <w:r>
            <w:instrText xml:space="preserve"> PAGEREF _Toc12308 \h </w:instrText>
          </w:r>
          <w:r>
            <w:fldChar w:fldCharType="separate"/>
          </w:r>
          <w:r>
            <w:t>31</w:t>
          </w:r>
          <w:r>
            <w:fldChar w:fldCharType="end"/>
          </w:r>
          <w:r>
            <w:fldChar w:fldCharType="end"/>
          </w:r>
        </w:p>
        <w:p>
          <w:pPr>
            <w:pStyle w:val="34"/>
            <w:tabs>
              <w:tab w:val="right" w:leader="dot" w:pos="8306"/>
            </w:tabs>
            <w:ind w:left="420"/>
          </w:pPr>
          <w:r>
            <w:fldChar w:fldCharType="begin"/>
          </w:r>
          <w:r>
            <w:instrText xml:space="preserve"> HYPERLINK \l "_Toc24713" </w:instrText>
          </w:r>
          <w:r>
            <w:fldChar w:fldCharType="separate"/>
          </w:r>
          <w:r>
            <w:rPr>
              <w:rFonts w:hint="eastAsia" w:ascii="仿宋" w:hAnsi="仿宋" w:eastAsia="仿宋"/>
            </w:rPr>
            <w:t>十三、财政拨款“三公”经费支出决算表</w:t>
          </w:r>
          <w:r>
            <w:tab/>
          </w:r>
          <w:r>
            <w:fldChar w:fldCharType="begin"/>
          </w:r>
          <w:r>
            <w:instrText xml:space="preserve"> PAGEREF _Toc24713 \h </w:instrText>
          </w:r>
          <w:r>
            <w:fldChar w:fldCharType="separate"/>
          </w:r>
          <w:r>
            <w:t>31</w:t>
          </w:r>
          <w:r>
            <w:fldChar w:fldCharType="end"/>
          </w:r>
          <w:r>
            <w:fldChar w:fldCharType="end"/>
          </w:r>
        </w:p>
        <w:p>
          <w:r>
            <w:rPr>
              <w:b/>
            </w:rPr>
            <w:fldChar w:fldCharType="end"/>
          </w:r>
        </w:p>
      </w:sdtContent>
    </w:sdt>
    <w:p>
      <w:pPr>
        <w:pStyle w:val="3"/>
        <w:spacing w:before="0" w:after="0"/>
        <w:jc w:val="center"/>
        <w:rPr>
          <w:rFonts w:ascii="黑体" w:hAnsi="黑体" w:eastAsia="黑体"/>
          <w:b w:val="0"/>
        </w:rPr>
        <w:sectPr>
          <w:headerReference r:id="rId3" w:type="default"/>
          <w:pgSz w:w="11906" w:h="16838"/>
          <w:pgMar w:top="1440" w:right="1800" w:bottom="1440" w:left="1800" w:header="851" w:footer="992" w:gutter="0"/>
          <w:pgNumType w:start="1"/>
          <w:cols w:space="425" w:num="1"/>
          <w:titlePg/>
          <w:docGrid w:type="lines" w:linePitch="312" w:charSpace="0"/>
        </w:sectPr>
      </w:pPr>
      <w:bookmarkStart w:id="16" w:name="_Toc29935"/>
    </w:p>
    <w:p>
      <w:pPr>
        <w:pStyle w:val="3"/>
        <w:spacing w:before="0" w:after="0"/>
        <w:jc w:val="center"/>
        <w:rPr>
          <w:rStyle w:val="18"/>
          <w:rFonts w:ascii="黑体" w:hAnsi="黑体" w:eastAsia="黑体"/>
          <w:b/>
          <w:bCs w:val="0"/>
        </w:rPr>
      </w:pPr>
      <w:r>
        <w:rPr>
          <w:rFonts w:hint="eastAsia" w:ascii="黑体" w:hAnsi="黑体" w:eastAsia="黑体"/>
          <w:b w:val="0"/>
        </w:rPr>
        <w:t>第一部分 单位</w:t>
      </w:r>
      <w:r>
        <w:rPr>
          <w:rStyle w:val="18"/>
          <w:rFonts w:hint="eastAsia" w:ascii="黑体" w:hAnsi="黑体" w:eastAsia="黑体"/>
          <w:b w:val="0"/>
          <w:bCs w:val="0"/>
        </w:rPr>
        <w:t>概况</w:t>
      </w:r>
      <w:bookmarkEnd w:id="14"/>
      <w:bookmarkEnd w:id="15"/>
      <w:bookmarkEnd w:id="16"/>
    </w:p>
    <w:p>
      <w:pPr>
        <w:pStyle w:val="4"/>
        <w:spacing w:before="0" w:after="0"/>
        <w:ind w:firstLine="640" w:firstLineChars="200"/>
        <w:rPr>
          <w:rStyle w:val="19"/>
          <w:rFonts w:ascii="黑体" w:hAnsi="黑体" w:eastAsia="黑体"/>
          <w:b w:val="0"/>
          <w:bCs w:val="0"/>
        </w:rPr>
      </w:pPr>
      <w:bookmarkStart w:id="17" w:name="_Toc4137"/>
      <w:bookmarkStart w:id="18" w:name="_Toc15396600"/>
      <w:bookmarkStart w:id="19" w:name="_Toc15377197"/>
      <w:r>
        <w:rPr>
          <w:rStyle w:val="19"/>
          <w:rFonts w:hint="eastAsia" w:ascii="黑体" w:hAnsi="黑体" w:eastAsia="黑体"/>
          <w:b w:val="0"/>
          <w:bCs w:val="0"/>
        </w:rPr>
        <w:t>一、主要职责</w:t>
      </w:r>
      <w:bookmarkEnd w:id="17"/>
    </w:p>
    <w:p>
      <w:pPr>
        <w:spacing w:line="600" w:lineRule="exact"/>
        <w:ind w:firstLine="640" w:firstLineChars="200"/>
        <w:rPr>
          <w:rFonts w:ascii="仿宋_GB2312" w:eastAsia="仿宋_GB2312"/>
          <w:sz w:val="32"/>
          <w:szCs w:val="32"/>
        </w:rPr>
      </w:pPr>
      <w:r>
        <w:rPr>
          <w:rFonts w:hint="eastAsia" w:ascii="仿宋_GB2312" w:eastAsia="仿宋_GB2312"/>
          <w:sz w:val="32"/>
          <w:szCs w:val="32"/>
        </w:rPr>
        <w:t>广元市作家协会是在中国共产党领导下的全市作家、文学工作者自愿结合的专业性人民团体，由市委领导。其主要工作任务是：一是组织学习党的基本理论和文艺方针，坚持文艺为人民服务、为社会主义服务的方向。贯彻“百花齐放”“百家争鸣”的方针，弘扬主旋律，提倡多样化，发扬和繁荣具有中国特色的社会主义文学，为加强社会主义精神文明建设服务。二是组织、推动文学评论和文学理论研究，坚持正确导向，发扬文艺民主，掌握文学创作状况和发展态势，推动我市文学理论研究和文学评论活动，促进社会主义文学事业的健康发展，培养造就一支紧跟时代步伐、热爱祖国和人民、艺术水平精湛的文学队伍。三是组织作家深入生活，不断提高文学创作的思想和艺术水平，大力推出优秀的创作成果，表彰奖励优秀文学成果，激发作家的进取精神，多出精品，多出人才。四是组织作家参加国内、国际文学交流活动，加强同市内外文学工作者的联系，增进相互了解和友谊。五是依据宪法和法律，反映作家的意见和要求，关心作家的创作和生活，兴办为作家服务的各种福利事业，依法维护作家的合法权益。六是实施章程中所规定的其它职责，承办市委和市政府交办的其它工作。</w:t>
      </w:r>
    </w:p>
    <w:p/>
    <w:p>
      <w:pPr>
        <w:pStyle w:val="4"/>
        <w:spacing w:before="0" w:after="0"/>
        <w:ind w:firstLine="640" w:firstLineChars="200"/>
        <w:rPr>
          <w:rFonts w:ascii="黑体" w:hAnsi="黑体" w:eastAsia="黑体"/>
          <w:b w:val="0"/>
        </w:rPr>
      </w:pPr>
      <w:bookmarkStart w:id="20" w:name="_Toc21703"/>
      <w:r>
        <w:rPr>
          <w:rFonts w:hint="eastAsia" w:ascii="黑体" w:hAnsi="黑体" w:eastAsia="黑体"/>
          <w:b w:val="0"/>
        </w:rPr>
        <w:t>二、机构设置</w:t>
      </w:r>
      <w:bookmarkEnd w:id="20"/>
    </w:p>
    <w:bookmarkEnd w:id="18"/>
    <w:bookmarkEnd w:id="19"/>
    <w:p>
      <w:pPr>
        <w:widowControl/>
        <w:ind w:firstLine="640" w:firstLineChars="200"/>
        <w:jc w:val="left"/>
        <w:rPr>
          <w:rFonts w:ascii="仿宋" w:hAnsi="仿宋" w:eastAsia="仿宋"/>
          <w:kern w:val="0"/>
          <w:sz w:val="32"/>
          <w:szCs w:val="32"/>
        </w:rPr>
      </w:pPr>
      <w:r>
        <w:rPr>
          <w:rFonts w:hint="eastAsia" w:ascii="仿宋_GB2312" w:eastAsia="仿宋_GB2312"/>
          <w:sz w:val="32"/>
          <w:szCs w:val="32"/>
        </w:rPr>
        <w:t>广元市作家协会属</w:t>
      </w:r>
      <w:r>
        <w:rPr>
          <w:rFonts w:ascii="仿宋_GB2312" w:eastAsia="仿宋_GB2312"/>
          <w:sz w:val="32"/>
          <w:szCs w:val="32"/>
        </w:rPr>
        <w:t>市委宣传部</w:t>
      </w:r>
      <w:r>
        <w:rPr>
          <w:rFonts w:hint="eastAsia" w:ascii="仿宋_GB2312" w:eastAsia="仿宋_GB2312"/>
          <w:sz w:val="32"/>
          <w:szCs w:val="32"/>
        </w:rPr>
        <w:t>二级预算单位，内设办公室、创作联络部2个部门，参公事业编制5名。</w:t>
      </w:r>
      <w:r>
        <w:rPr>
          <w:rFonts w:ascii="仿宋" w:hAnsi="仿宋" w:eastAsia="仿宋"/>
          <w:sz w:val="32"/>
          <w:szCs w:val="32"/>
        </w:rPr>
        <w:br w:type="page"/>
      </w:r>
      <w:bookmarkStart w:id="21" w:name="_Toc25018"/>
      <w:bookmarkStart w:id="22" w:name="_Toc15396602"/>
      <w:bookmarkStart w:id="23" w:name="_Toc15377204"/>
    </w:p>
    <w:p>
      <w:pPr>
        <w:pStyle w:val="3"/>
        <w:spacing w:before="0" w:after="0"/>
        <w:ind w:right="440"/>
        <w:jc w:val="center"/>
        <w:rPr>
          <w:rStyle w:val="18"/>
          <w:rFonts w:ascii="黑体" w:hAnsi="黑体" w:eastAsia="黑体"/>
          <w:b w:val="0"/>
          <w:bCs/>
        </w:rPr>
      </w:pPr>
      <w:r>
        <w:rPr>
          <w:rFonts w:hint="eastAsia" w:ascii="黑体" w:hAnsi="黑体" w:eastAsia="黑体"/>
          <w:b w:val="0"/>
        </w:rPr>
        <w:t>第二部分 2023年度</w:t>
      </w:r>
      <w:r>
        <w:rPr>
          <w:rStyle w:val="18"/>
          <w:rFonts w:hint="eastAsia" w:ascii="黑体" w:hAnsi="黑体" w:eastAsia="黑体"/>
          <w:b w:val="0"/>
          <w:bCs/>
        </w:rPr>
        <w:t>单位决算情况说明</w:t>
      </w:r>
      <w:bookmarkEnd w:id="21"/>
      <w:bookmarkEnd w:id="22"/>
      <w:bookmarkEnd w:id="23"/>
    </w:p>
    <w:p>
      <w:pPr>
        <w:pStyle w:val="28"/>
        <w:numPr>
          <w:ilvl w:val="0"/>
          <w:numId w:val="1"/>
        </w:numPr>
        <w:spacing w:line="600" w:lineRule="exact"/>
        <w:ind w:firstLineChars="0"/>
        <w:outlineLvl w:val="1"/>
        <w:rPr>
          <w:rStyle w:val="19"/>
          <w:rFonts w:ascii="黑体" w:hAnsi="黑体" w:eastAsia="黑体"/>
          <w:b w:val="0"/>
        </w:rPr>
      </w:pPr>
      <w:bookmarkStart w:id="24" w:name="_Toc4458"/>
      <w:bookmarkStart w:id="25" w:name="_Toc15396603"/>
      <w:bookmarkStart w:id="26" w:name="_Toc15377205"/>
      <w:r>
        <w:rPr>
          <w:rFonts w:hint="eastAsia" w:ascii="黑体" w:hAnsi="黑体" w:eastAsia="黑体"/>
          <w:sz w:val="32"/>
          <w:szCs w:val="32"/>
        </w:rPr>
        <w:t>收</w:t>
      </w:r>
      <w:r>
        <w:rPr>
          <w:rStyle w:val="19"/>
          <w:rFonts w:hint="eastAsia" w:ascii="黑体" w:hAnsi="黑体" w:eastAsia="黑体"/>
          <w:b w:val="0"/>
        </w:rPr>
        <w:t>入支出决算总体情况说明</w:t>
      </w:r>
      <w:bookmarkEnd w:id="24"/>
      <w:bookmarkEnd w:id="25"/>
      <w:bookmarkEnd w:id="26"/>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2023年度收、支总计</w:t>
      </w:r>
      <w:r>
        <w:rPr>
          <w:rFonts w:hint="eastAsia" w:ascii="仿宋_GB2312" w:hAnsi="仿宋_GB2312" w:eastAsia="仿宋_GB2312" w:cs="仿宋_GB2312"/>
          <w:color w:val="000000"/>
          <w:sz w:val="32"/>
          <w:lang w:val="zh-CN"/>
        </w:rPr>
        <w:t>224.83</w:t>
      </w:r>
      <w:r>
        <w:rPr>
          <w:rFonts w:hint="eastAsia" w:ascii="仿宋_GB2312" w:hAnsi="仿宋_GB2312" w:eastAsia="仿宋_GB2312" w:cs="仿宋_GB2312"/>
          <w:sz w:val="32"/>
          <w:szCs w:val="32"/>
        </w:rPr>
        <w:t>万元。与2022年相比，收、支总计各增加49.63万元，增长28.3%。主要变动原因是文学活动支出增加。</w:t>
      </w:r>
    </w:p>
    <w:p>
      <w:pPr>
        <w:pStyle w:val="2"/>
        <w:spacing w:before="312"/>
        <w:ind w:left="0" w:firstLine="0"/>
        <w:rPr>
          <w:highlight w:val="yellow"/>
        </w:rPr>
      </w:pPr>
      <w:r>
        <w:drawing>
          <wp:inline distT="0" distB="0" distL="0" distR="0">
            <wp:extent cx="5158740" cy="2719705"/>
            <wp:effectExtent l="19050" t="0" r="22594" b="4120"/>
            <wp:docPr id="21"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spacing w:line="600" w:lineRule="exact"/>
        <w:ind w:firstLine="1600" w:firstLineChars="500"/>
        <w:rPr>
          <w:rFonts w:ascii="仿宋" w:hAnsi="仿宋" w:eastAsia="仿宋"/>
          <w:sz w:val="32"/>
          <w:szCs w:val="32"/>
        </w:rPr>
      </w:pPr>
      <w:r>
        <w:rPr>
          <w:rFonts w:hint="eastAsia" w:ascii="仿宋" w:hAnsi="仿宋" w:eastAsia="仿宋"/>
          <w:sz w:val="32"/>
          <w:szCs w:val="32"/>
        </w:rPr>
        <w:t>图</w:t>
      </w:r>
      <w:r>
        <w:rPr>
          <w:rFonts w:ascii="仿宋" w:hAnsi="仿宋" w:eastAsia="仿宋"/>
          <w:sz w:val="32"/>
          <w:szCs w:val="32"/>
        </w:rPr>
        <w:t>1</w:t>
      </w:r>
      <w:r>
        <w:rPr>
          <w:rFonts w:hint="eastAsia" w:ascii="仿宋" w:hAnsi="仿宋" w:eastAsia="仿宋"/>
          <w:sz w:val="32"/>
          <w:szCs w:val="32"/>
        </w:rPr>
        <w:t>：收、支决算总计变动情况图</w:t>
      </w:r>
    </w:p>
    <w:p>
      <w:pPr>
        <w:pStyle w:val="28"/>
        <w:numPr>
          <w:ilvl w:val="0"/>
          <w:numId w:val="1"/>
        </w:numPr>
        <w:spacing w:line="600" w:lineRule="exact"/>
        <w:ind w:firstLineChars="0"/>
        <w:outlineLvl w:val="1"/>
        <w:rPr>
          <w:rStyle w:val="19"/>
          <w:rFonts w:ascii="黑体" w:hAnsi="黑体" w:eastAsia="黑体"/>
          <w:b w:val="0"/>
        </w:rPr>
      </w:pPr>
      <w:bookmarkStart w:id="27" w:name="_Toc2544"/>
      <w:bookmarkStart w:id="28" w:name="_Toc15396604"/>
      <w:bookmarkStart w:id="29" w:name="_Toc15377206"/>
      <w:r>
        <w:rPr>
          <w:rFonts w:hint="eastAsia" w:ascii="黑体" w:hAnsi="黑体" w:eastAsia="黑体"/>
          <w:sz w:val="32"/>
          <w:szCs w:val="32"/>
        </w:rPr>
        <w:t>收</w:t>
      </w:r>
      <w:r>
        <w:rPr>
          <w:rStyle w:val="19"/>
          <w:rFonts w:hint="eastAsia" w:ascii="黑体" w:hAnsi="黑体" w:eastAsia="黑体"/>
          <w:b w:val="0"/>
        </w:rPr>
        <w:t>入决算情况说明</w:t>
      </w:r>
      <w:bookmarkEnd w:id="27"/>
      <w:bookmarkEnd w:id="28"/>
      <w:bookmarkEnd w:id="29"/>
    </w:p>
    <w:p>
      <w:pPr>
        <w:spacing w:line="600" w:lineRule="exact"/>
        <w:ind w:firstLine="640" w:firstLineChars="200"/>
        <w:rPr>
          <w:rFonts w:ascii="仿宋_GB2312" w:hAnsi="仿宋_GB2312" w:eastAsia="仿宋_GB2312"/>
          <w:color w:val="000000"/>
          <w:sz w:val="32"/>
          <w:lang w:val="zh-CN"/>
        </w:rPr>
      </w:pPr>
      <w:r>
        <w:rPr>
          <w:rFonts w:hint="eastAsia" w:ascii="仿宋_GB2312" w:hAnsi="仿宋_GB2312" w:eastAsia="仿宋_GB2312"/>
          <w:color w:val="000000"/>
          <w:sz w:val="32"/>
          <w:lang w:val="zh-CN"/>
        </w:rPr>
        <w:t>2023年本年收入合计224.83万元，其中：一般公共预算财政拨款收入224.83万元，占100%。</w:t>
      </w:r>
    </w:p>
    <w:p>
      <w:pPr>
        <w:spacing w:line="600" w:lineRule="exact"/>
        <w:rPr>
          <w:rFonts w:ascii="仿宋" w:hAnsi="仿宋" w:eastAsia="仿宋"/>
          <w:sz w:val="32"/>
          <w:szCs w:val="32"/>
        </w:rPr>
      </w:pPr>
      <w:r>
        <w:rPr>
          <w:rFonts w:ascii="仿宋" w:hAnsi="仿宋" w:eastAsia="仿宋"/>
          <w:sz w:val="32"/>
          <w:szCs w:val="32"/>
        </w:rPr>
        <w:drawing>
          <wp:anchor distT="0" distB="0" distL="114300" distR="114300" simplePos="0" relativeHeight="251661312" behindDoc="0" locked="0" layoutInCell="1" allowOverlap="1">
            <wp:simplePos x="0" y="0"/>
            <wp:positionH relativeFrom="column">
              <wp:posOffset>387985</wp:posOffset>
            </wp:positionH>
            <wp:positionV relativeFrom="paragraph">
              <wp:posOffset>467360</wp:posOffset>
            </wp:positionV>
            <wp:extent cx="4654550" cy="2298065"/>
            <wp:effectExtent l="19050" t="0" r="12700" b="6985"/>
            <wp:wrapTopAndBottom/>
            <wp:docPr id="11"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p>
    <w:p>
      <w:pPr>
        <w:spacing w:line="600" w:lineRule="exact"/>
        <w:ind w:firstLine="2240" w:firstLineChars="700"/>
        <w:rPr>
          <w:rFonts w:ascii="仿宋_GB2312" w:eastAsia="仿宋_GB2312"/>
          <w:sz w:val="32"/>
          <w:szCs w:val="32"/>
        </w:rPr>
      </w:pPr>
      <w:r>
        <w:rPr>
          <w:rFonts w:hint="eastAsia" w:ascii="仿宋" w:hAnsi="仿宋" w:eastAsia="仿宋"/>
          <w:sz w:val="32"/>
          <w:szCs w:val="32"/>
        </w:rPr>
        <w:t>图2：收入决算结构图</w:t>
      </w:r>
    </w:p>
    <w:p>
      <w:pPr>
        <w:pStyle w:val="28"/>
        <w:numPr>
          <w:ilvl w:val="0"/>
          <w:numId w:val="1"/>
        </w:numPr>
        <w:spacing w:line="600" w:lineRule="exact"/>
        <w:ind w:firstLineChars="0"/>
        <w:outlineLvl w:val="1"/>
        <w:rPr>
          <w:rStyle w:val="19"/>
          <w:rFonts w:ascii="黑体" w:hAnsi="黑体" w:eastAsia="黑体"/>
          <w:b w:val="0"/>
        </w:rPr>
      </w:pPr>
      <w:bookmarkStart w:id="30" w:name="_Toc10256"/>
      <w:bookmarkStart w:id="31" w:name="_Toc15377207"/>
      <w:bookmarkStart w:id="32" w:name="_Toc15396605"/>
      <w:r>
        <w:rPr>
          <w:rFonts w:hint="eastAsia" w:ascii="黑体" w:hAnsi="黑体" w:eastAsia="黑体"/>
          <w:sz w:val="32"/>
          <w:szCs w:val="32"/>
        </w:rPr>
        <w:t>支</w:t>
      </w:r>
      <w:r>
        <w:rPr>
          <w:rStyle w:val="19"/>
          <w:rFonts w:hint="eastAsia" w:ascii="黑体" w:hAnsi="黑体" w:eastAsia="黑体"/>
          <w:b w:val="0"/>
        </w:rPr>
        <w:t>出决算情况说明</w:t>
      </w:r>
      <w:bookmarkEnd w:id="30"/>
      <w:bookmarkEnd w:id="31"/>
      <w:bookmarkEnd w:id="32"/>
    </w:p>
    <w:p>
      <w:pPr>
        <w:keepNext/>
        <w:keepLines/>
        <w:spacing w:line="576" w:lineRule="exact"/>
        <w:ind w:firstLine="640"/>
        <w:rPr>
          <w:rFonts w:ascii="仿宋_GB2312" w:hAnsi="仿宋_GB2312" w:eastAsia="仿宋_GB2312"/>
          <w:color w:val="000000"/>
          <w:sz w:val="32"/>
          <w:lang w:val="zh-CN"/>
        </w:rPr>
      </w:pPr>
      <w:r>
        <w:rPr>
          <w:rFonts w:hint="eastAsia" w:ascii="仿宋_GB2312" w:hAnsi="仿宋_GB2312" w:eastAsia="仿宋_GB2312" w:cs="仿宋_GB2312"/>
          <w:sz w:val="32"/>
          <w:szCs w:val="32"/>
          <w:lang w:val="zh-CN"/>
        </w:rPr>
        <w:t>2023年本年支出合计224.83万元，其中：基本支出110.2万元，占49%；项目支出114.63万元，占51%。</w:t>
      </w:r>
      <w:r>
        <w:rPr>
          <w:rFonts w:ascii="仿宋" w:hAnsi="仿宋" w:eastAsia="仿宋"/>
          <w:sz w:val="32"/>
          <w:szCs w:val="32"/>
          <w:shd w:val="pct10" w:color="auto" w:fill="FFFFFF"/>
        </w:rPr>
        <w:drawing>
          <wp:anchor distT="0" distB="0" distL="114300" distR="114300" simplePos="0" relativeHeight="251662336" behindDoc="0" locked="0" layoutInCell="1" allowOverlap="1">
            <wp:simplePos x="0" y="0"/>
            <wp:positionH relativeFrom="column">
              <wp:posOffset>143510</wp:posOffset>
            </wp:positionH>
            <wp:positionV relativeFrom="paragraph">
              <wp:posOffset>838200</wp:posOffset>
            </wp:positionV>
            <wp:extent cx="5062220" cy="2839085"/>
            <wp:effectExtent l="0" t="0" r="9525" b="0"/>
            <wp:wrapNone/>
            <wp:docPr id="14"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pPr>
        <w:pStyle w:val="2"/>
        <w:spacing w:beforeLines="0"/>
        <w:ind w:left="0" w:firstLine="0"/>
        <w:rPr>
          <w:rFonts w:ascii="仿宋" w:hAnsi="仿宋" w:eastAsia="仿宋"/>
          <w:color w:val="auto"/>
          <w:sz w:val="32"/>
          <w:szCs w:val="32"/>
          <w:shd w:val="pct10" w:color="auto" w:fill="FFFFFF"/>
        </w:rPr>
      </w:pPr>
    </w:p>
    <w:p>
      <w:pPr>
        <w:pStyle w:val="2"/>
        <w:spacing w:beforeLines="0"/>
        <w:rPr>
          <w:rFonts w:ascii="仿宋" w:hAnsi="仿宋" w:eastAsia="仿宋"/>
          <w:color w:val="auto"/>
          <w:sz w:val="32"/>
          <w:szCs w:val="32"/>
          <w:shd w:val="pct10" w:color="auto" w:fill="FFFFFF"/>
        </w:rPr>
      </w:pPr>
    </w:p>
    <w:p>
      <w:pPr>
        <w:pStyle w:val="2"/>
        <w:spacing w:beforeLines="0"/>
        <w:rPr>
          <w:rFonts w:ascii="仿宋" w:hAnsi="仿宋" w:eastAsia="仿宋"/>
          <w:color w:val="auto"/>
          <w:sz w:val="32"/>
          <w:szCs w:val="32"/>
          <w:shd w:val="pct10" w:color="auto" w:fill="FFFFFF"/>
        </w:rPr>
      </w:pPr>
    </w:p>
    <w:p>
      <w:pPr>
        <w:pStyle w:val="2"/>
        <w:spacing w:beforeLines="0"/>
        <w:rPr>
          <w:rFonts w:ascii="仿宋" w:hAnsi="仿宋" w:eastAsia="仿宋"/>
          <w:color w:val="auto"/>
          <w:sz w:val="32"/>
          <w:szCs w:val="32"/>
          <w:shd w:val="pct10" w:color="auto" w:fill="FFFFFF"/>
        </w:rPr>
      </w:pPr>
    </w:p>
    <w:p>
      <w:pPr>
        <w:pStyle w:val="2"/>
        <w:spacing w:beforeLines="0"/>
        <w:rPr>
          <w:rFonts w:ascii="仿宋" w:hAnsi="仿宋" w:eastAsia="仿宋"/>
          <w:color w:val="auto"/>
          <w:sz w:val="32"/>
          <w:szCs w:val="32"/>
          <w:shd w:val="pct10" w:color="auto" w:fill="FFFFFF"/>
        </w:rPr>
      </w:pPr>
    </w:p>
    <w:p>
      <w:pPr>
        <w:pStyle w:val="2"/>
        <w:spacing w:beforeLines="0"/>
        <w:rPr>
          <w:rFonts w:ascii="仿宋" w:hAnsi="仿宋" w:eastAsia="仿宋"/>
          <w:color w:val="auto"/>
          <w:sz w:val="32"/>
          <w:szCs w:val="32"/>
          <w:shd w:val="pct10" w:color="auto" w:fill="FFFFFF"/>
        </w:rPr>
      </w:pPr>
    </w:p>
    <w:p>
      <w:pPr>
        <w:pStyle w:val="2"/>
        <w:spacing w:beforeLines="0"/>
        <w:rPr>
          <w:rFonts w:ascii="仿宋" w:hAnsi="仿宋" w:eastAsia="仿宋"/>
          <w:color w:val="auto"/>
          <w:sz w:val="32"/>
          <w:szCs w:val="32"/>
          <w:shd w:val="pct10" w:color="auto" w:fill="FFFFFF"/>
        </w:rPr>
      </w:pPr>
    </w:p>
    <w:p>
      <w:pPr>
        <w:pStyle w:val="2"/>
        <w:spacing w:beforeLines="0"/>
        <w:ind w:left="0" w:firstLine="0"/>
        <w:rPr>
          <w:rFonts w:ascii="仿宋" w:hAnsi="仿宋" w:eastAsia="仿宋"/>
          <w:color w:val="auto"/>
          <w:sz w:val="32"/>
          <w:szCs w:val="32"/>
          <w:shd w:val="pct10" w:color="auto" w:fill="FFFFFF"/>
        </w:rPr>
      </w:pPr>
    </w:p>
    <w:p>
      <w:pPr>
        <w:spacing w:line="600" w:lineRule="exact"/>
        <w:ind w:firstLine="1920" w:firstLineChars="600"/>
        <w:rPr>
          <w:rFonts w:ascii="仿宋" w:hAnsi="仿宋" w:eastAsia="仿宋"/>
          <w:sz w:val="32"/>
          <w:szCs w:val="32"/>
        </w:rPr>
      </w:pPr>
      <w:r>
        <w:rPr>
          <w:rFonts w:hint="eastAsia" w:ascii="仿宋" w:hAnsi="仿宋" w:eastAsia="仿宋"/>
          <w:sz w:val="32"/>
          <w:szCs w:val="32"/>
        </w:rPr>
        <w:t>图3：支出决算结构图</w:t>
      </w:r>
    </w:p>
    <w:p>
      <w:pPr>
        <w:spacing w:line="600" w:lineRule="exact"/>
        <w:ind w:firstLine="640" w:firstLineChars="200"/>
        <w:outlineLvl w:val="1"/>
        <w:rPr>
          <w:rStyle w:val="19"/>
          <w:rFonts w:ascii="黑体" w:hAnsi="黑体" w:eastAsia="黑体"/>
          <w:b w:val="0"/>
        </w:rPr>
      </w:pPr>
      <w:bookmarkStart w:id="33" w:name="_Toc15396606"/>
      <w:bookmarkStart w:id="34" w:name="_Toc6986"/>
      <w:bookmarkStart w:id="35" w:name="_Toc15377208"/>
      <w:r>
        <w:rPr>
          <w:rFonts w:hint="eastAsia" w:ascii="黑体" w:hAnsi="黑体" w:eastAsia="黑体"/>
          <w:sz w:val="32"/>
          <w:szCs w:val="32"/>
        </w:rPr>
        <w:t>四、财</w:t>
      </w:r>
      <w:r>
        <w:rPr>
          <w:rStyle w:val="19"/>
          <w:rFonts w:hint="eastAsia" w:ascii="黑体" w:hAnsi="黑体" w:eastAsia="黑体"/>
          <w:b w:val="0"/>
        </w:rPr>
        <w:t>政拨款收入支出决算总体情况说明</w:t>
      </w:r>
      <w:bookmarkEnd w:id="33"/>
      <w:bookmarkEnd w:id="34"/>
      <w:bookmarkEnd w:id="35"/>
    </w:p>
    <w:p>
      <w:pPr>
        <w:spacing w:line="600" w:lineRule="exact"/>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2023年财政拨款收、支总计224.83万元。与2022年相</w:t>
      </w:r>
    </w:p>
    <w:p>
      <w:pPr>
        <w:spacing w:line="600" w:lineRule="exact"/>
        <w:rPr>
          <w:rFonts w:ascii="仿宋_GB2312" w:hAnsi="仿宋_GB2312" w:eastAsia="仿宋_GB2312" w:cs="仿宋_GB2312"/>
          <w:sz w:val="32"/>
          <w:szCs w:val="32"/>
        </w:rPr>
      </w:pPr>
      <w:r>
        <w:rPr>
          <w:rFonts w:hint="eastAsia" w:ascii="仿宋_GB2312" w:hAnsi="仿宋_GB2312" w:eastAsia="仿宋_GB2312" w:cs="仿宋_GB2312"/>
          <w:sz w:val="32"/>
          <w:szCs w:val="32"/>
          <w:lang w:val="zh-CN"/>
        </w:rPr>
        <w:t>比，财政拨款收、支总计各增加49.63万元，增长28.3%。主要变动原因是</w:t>
      </w:r>
      <w:r>
        <w:rPr>
          <w:rFonts w:hint="eastAsia" w:ascii="仿宋_GB2312" w:hAnsi="仿宋_GB2312" w:eastAsia="仿宋_GB2312" w:cs="仿宋_GB2312"/>
          <w:sz w:val="32"/>
          <w:szCs w:val="32"/>
        </w:rPr>
        <w:t>文学活动支出增加</w:t>
      </w:r>
      <w:r>
        <w:rPr>
          <w:rFonts w:hint="eastAsia" w:ascii="仿宋_GB2312" w:hAnsi="仿宋_GB2312" w:eastAsia="仿宋_GB2312" w:cs="仿宋_GB2312"/>
          <w:sz w:val="32"/>
          <w:szCs w:val="32"/>
          <w:lang w:val="zh-CN"/>
        </w:rPr>
        <w:t>。</w:t>
      </w:r>
    </w:p>
    <w:p>
      <w:pPr>
        <w:spacing w:line="600" w:lineRule="exact"/>
        <w:rPr>
          <w:rFonts w:ascii="仿宋" w:hAnsi="仿宋" w:eastAsia="仿宋"/>
          <w:sz w:val="32"/>
          <w:szCs w:val="32"/>
        </w:rPr>
      </w:pPr>
      <w:r>
        <w:rPr>
          <w:rFonts w:hint="eastAsia" w:ascii="仿宋" w:hAnsi="仿宋" w:eastAsia="仿宋"/>
          <w:sz w:val="32"/>
          <w:szCs w:val="32"/>
        </w:rPr>
        <w:drawing>
          <wp:anchor distT="0" distB="0" distL="114300" distR="114300" simplePos="0" relativeHeight="251664384" behindDoc="0" locked="0" layoutInCell="1" allowOverlap="1">
            <wp:simplePos x="0" y="0"/>
            <wp:positionH relativeFrom="column">
              <wp:posOffset>279400</wp:posOffset>
            </wp:positionH>
            <wp:positionV relativeFrom="paragraph">
              <wp:posOffset>129540</wp:posOffset>
            </wp:positionV>
            <wp:extent cx="4706620" cy="2413635"/>
            <wp:effectExtent l="19050" t="0" r="17839" b="5760"/>
            <wp:wrapNone/>
            <wp:docPr id="2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pPr>
        <w:pStyle w:val="2"/>
        <w:spacing w:beforeLines="0"/>
        <w:rPr>
          <w:rFonts w:ascii="仿宋" w:hAnsi="仿宋" w:eastAsia="仿宋"/>
          <w:color w:val="auto"/>
          <w:sz w:val="32"/>
          <w:szCs w:val="32"/>
        </w:rPr>
      </w:pPr>
    </w:p>
    <w:p>
      <w:pPr>
        <w:pStyle w:val="2"/>
        <w:spacing w:beforeLines="0"/>
        <w:rPr>
          <w:rFonts w:ascii="仿宋" w:hAnsi="仿宋" w:eastAsia="仿宋"/>
          <w:color w:val="auto"/>
          <w:sz w:val="32"/>
          <w:szCs w:val="32"/>
        </w:rPr>
      </w:pPr>
    </w:p>
    <w:p>
      <w:pPr>
        <w:pStyle w:val="2"/>
        <w:spacing w:beforeLines="0"/>
        <w:rPr>
          <w:rFonts w:ascii="仿宋" w:hAnsi="仿宋" w:eastAsia="仿宋"/>
          <w:color w:val="auto"/>
          <w:sz w:val="32"/>
          <w:szCs w:val="32"/>
        </w:rPr>
      </w:pPr>
    </w:p>
    <w:p>
      <w:pPr>
        <w:pStyle w:val="2"/>
        <w:spacing w:before="312"/>
        <w:ind w:left="0" w:firstLine="0"/>
      </w:pPr>
    </w:p>
    <w:p>
      <w:pPr>
        <w:spacing w:line="600" w:lineRule="exact"/>
        <w:ind w:firstLine="960" w:firstLineChars="300"/>
        <w:rPr>
          <w:rFonts w:ascii="仿宋" w:hAnsi="仿宋" w:eastAsia="仿宋"/>
          <w:sz w:val="32"/>
          <w:szCs w:val="32"/>
        </w:rPr>
      </w:pPr>
      <w:r>
        <w:rPr>
          <w:rFonts w:hint="eastAsia" w:ascii="仿宋" w:hAnsi="仿宋" w:eastAsia="仿宋"/>
          <w:sz w:val="32"/>
          <w:szCs w:val="32"/>
        </w:rPr>
        <w:t>图4：财政拨款收、支决算总计变动情况</w:t>
      </w:r>
    </w:p>
    <w:p>
      <w:pPr>
        <w:tabs>
          <w:tab w:val="left" w:pos="3622"/>
        </w:tabs>
        <w:spacing w:line="600" w:lineRule="exact"/>
        <w:ind w:firstLine="640" w:firstLineChars="200"/>
        <w:outlineLvl w:val="1"/>
        <w:rPr>
          <w:rStyle w:val="19"/>
          <w:rFonts w:ascii="黑体" w:hAnsi="黑体" w:eastAsia="黑体"/>
          <w:b w:val="0"/>
        </w:rPr>
      </w:pPr>
      <w:bookmarkStart w:id="36" w:name="_Toc27323"/>
      <w:bookmarkStart w:id="37" w:name="_Toc15377209"/>
      <w:bookmarkStart w:id="38" w:name="_Toc15396607"/>
      <w:r>
        <w:rPr>
          <w:rFonts w:hint="eastAsia" w:ascii="黑体" w:hAnsi="黑体" w:eastAsia="黑体"/>
          <w:sz w:val="32"/>
          <w:szCs w:val="32"/>
        </w:rPr>
        <w:t>五、</w:t>
      </w:r>
      <w:r>
        <w:rPr>
          <w:rFonts w:hint="eastAsia" w:ascii="黑体" w:hAnsi="黑体" w:eastAsia="黑体"/>
          <w:b/>
          <w:sz w:val="32"/>
          <w:szCs w:val="32"/>
        </w:rPr>
        <w:t>一</w:t>
      </w:r>
      <w:r>
        <w:rPr>
          <w:rStyle w:val="19"/>
          <w:rFonts w:hint="eastAsia" w:ascii="黑体" w:hAnsi="黑体" w:eastAsia="黑体"/>
          <w:b w:val="0"/>
        </w:rPr>
        <w:t>般公共预算财政拨款支出决算情况说明</w:t>
      </w:r>
      <w:bookmarkEnd w:id="36"/>
      <w:bookmarkEnd w:id="37"/>
      <w:bookmarkEnd w:id="38"/>
    </w:p>
    <w:p>
      <w:pPr>
        <w:spacing w:line="600" w:lineRule="exact"/>
        <w:ind w:firstLine="642" w:firstLineChars="200"/>
        <w:outlineLvl w:val="2"/>
        <w:rPr>
          <w:rFonts w:ascii="仿宋" w:hAnsi="仿宋" w:eastAsia="仿宋"/>
          <w:b/>
          <w:sz w:val="32"/>
          <w:szCs w:val="32"/>
        </w:rPr>
      </w:pPr>
      <w:bookmarkStart w:id="39" w:name="_Toc15377210"/>
      <w:r>
        <w:rPr>
          <w:rFonts w:hint="eastAsia" w:ascii="仿宋" w:hAnsi="仿宋" w:eastAsia="仿宋"/>
          <w:b/>
          <w:sz w:val="32"/>
          <w:szCs w:val="32"/>
        </w:rPr>
        <w:t>（一）一般公共预算财政拨款支出决算总体情况</w:t>
      </w:r>
      <w:bookmarkEnd w:id="39"/>
    </w:p>
    <w:p>
      <w:pPr>
        <w:pStyle w:val="2"/>
        <w:spacing w:beforeLines="0"/>
        <w:rPr>
          <w:rFonts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2023年一般公共预算财政拨款支出224.83万元，占本年支出合计的100%。与2022年相比，一般公共预算财政拨款支出增长49.63万元，增长28.3%。主要变动原因是</w:t>
      </w:r>
      <w:r>
        <w:rPr>
          <w:rFonts w:hint="eastAsia" w:ascii="仿宋_GB2312" w:hAnsi="仿宋_GB2312" w:eastAsia="仿宋_GB2312" w:cs="仿宋_GB2312"/>
          <w:color w:val="auto"/>
          <w:sz w:val="32"/>
          <w:szCs w:val="32"/>
        </w:rPr>
        <w:t>文学活动支出增加</w:t>
      </w:r>
      <w:r>
        <w:rPr>
          <w:rFonts w:hint="eastAsia" w:ascii="仿宋_GB2312" w:hAnsi="仿宋_GB2312" w:eastAsia="仿宋_GB2312" w:cs="仿宋_GB2312"/>
          <w:color w:val="auto"/>
          <w:sz w:val="32"/>
          <w:szCs w:val="32"/>
          <w:lang w:val="zh-CN"/>
        </w:rPr>
        <w:t>。</w:t>
      </w:r>
    </w:p>
    <w:p>
      <w:pPr>
        <w:pStyle w:val="2"/>
        <w:spacing w:beforeLines="0"/>
        <w:rPr>
          <w:lang w:val="zh-CN"/>
        </w:rPr>
      </w:pPr>
      <w:r>
        <w:rPr>
          <w:rFonts w:hint="eastAsia"/>
        </w:rPr>
        <w:drawing>
          <wp:anchor distT="0" distB="0" distL="114300" distR="114300" simplePos="0" relativeHeight="251663360" behindDoc="0" locked="0" layoutInCell="1" allowOverlap="1">
            <wp:simplePos x="0" y="0"/>
            <wp:positionH relativeFrom="column">
              <wp:posOffset>98425</wp:posOffset>
            </wp:positionH>
            <wp:positionV relativeFrom="paragraph">
              <wp:posOffset>11430</wp:posOffset>
            </wp:positionV>
            <wp:extent cx="5279390" cy="2721610"/>
            <wp:effectExtent l="19050" t="0" r="16451" b="2850"/>
            <wp:wrapNone/>
            <wp:docPr id="20"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pPr>
        <w:pStyle w:val="2"/>
        <w:spacing w:beforeLines="0"/>
        <w:rPr>
          <w:lang w:val="zh-CN"/>
        </w:rPr>
      </w:pPr>
    </w:p>
    <w:p>
      <w:pPr>
        <w:pStyle w:val="2"/>
        <w:spacing w:beforeLines="0"/>
        <w:rPr>
          <w:lang w:val="zh-CN"/>
        </w:rPr>
      </w:pPr>
    </w:p>
    <w:p>
      <w:pPr>
        <w:pStyle w:val="2"/>
        <w:spacing w:beforeLines="0"/>
        <w:rPr>
          <w:lang w:val="zh-CN"/>
        </w:rPr>
      </w:pPr>
    </w:p>
    <w:p>
      <w:pPr>
        <w:pStyle w:val="2"/>
        <w:spacing w:beforeLines="0"/>
        <w:rPr>
          <w:lang w:val="zh-CN"/>
        </w:rPr>
      </w:pPr>
    </w:p>
    <w:p>
      <w:pPr>
        <w:pStyle w:val="2"/>
        <w:spacing w:beforeLines="0"/>
        <w:ind w:left="0" w:firstLine="0"/>
        <w:rPr>
          <w:lang w:val="zh-CN"/>
        </w:rPr>
      </w:pPr>
    </w:p>
    <w:p>
      <w:pPr>
        <w:spacing w:line="600" w:lineRule="exact"/>
        <w:ind w:firstLine="960" w:firstLineChars="300"/>
        <w:rPr>
          <w:rFonts w:ascii="仿宋" w:hAnsi="仿宋" w:eastAsia="仿宋"/>
          <w:sz w:val="32"/>
          <w:szCs w:val="32"/>
        </w:rPr>
      </w:pPr>
      <w:r>
        <w:rPr>
          <w:rFonts w:hint="eastAsia" w:ascii="仿宋" w:hAnsi="仿宋" w:eastAsia="仿宋"/>
          <w:sz w:val="32"/>
          <w:szCs w:val="32"/>
        </w:rPr>
        <w:t>图5：一般公共预算财政拨款支出决算变动情况</w:t>
      </w:r>
    </w:p>
    <w:p>
      <w:pPr>
        <w:spacing w:line="600" w:lineRule="exact"/>
        <w:ind w:firstLine="642" w:firstLineChars="200"/>
        <w:outlineLvl w:val="2"/>
        <w:rPr>
          <w:rFonts w:ascii="仿宋" w:hAnsi="仿宋" w:eastAsia="仿宋"/>
          <w:b/>
          <w:sz w:val="32"/>
          <w:szCs w:val="32"/>
        </w:rPr>
      </w:pPr>
      <w:bookmarkStart w:id="40" w:name="_Toc15377211"/>
      <w:r>
        <w:rPr>
          <w:rFonts w:hint="eastAsia" w:ascii="仿宋" w:hAnsi="仿宋" w:eastAsia="仿宋"/>
          <w:b/>
          <w:sz w:val="32"/>
          <w:szCs w:val="32"/>
        </w:rPr>
        <w:t>（二）一般公共预算财政拨款支出决算结构情况</w:t>
      </w:r>
      <w:bookmarkEnd w:id="40"/>
    </w:p>
    <w:p>
      <w:pPr>
        <w:spacing w:line="600" w:lineRule="exact"/>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2023年一般公共预算财政拨款支出224.83万元，主要</w:t>
      </w:r>
    </w:p>
    <w:p>
      <w:pPr>
        <w:spacing w:line="600" w:lineRule="exact"/>
        <w:ind w:firstLine="640" w:firstLineChars="200"/>
        <w:rPr>
          <w:rFonts w:hint="eastAsia" w:ascii="仿宋_GB2312" w:hAnsi="仿宋_GB2312" w:eastAsia="仿宋_GB2312" w:cs="仿宋_GB2312"/>
          <w:sz w:val="32"/>
          <w:szCs w:val="32"/>
          <w:lang w:val="zh-CN"/>
        </w:rPr>
      </w:pP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zh-CN"/>
        </w:rPr>
        <w:t>用于以下方面:：一般公共服务支出96.15万元，占42.8%；文化体育与传媒支出105.63万元，占47%；社会保障和就业支出10.93万元，占4.8%；卫生健康支出3.64万元，占1.6%；住房保障支出8.47万元，占3.8%。</w:t>
      </w:r>
    </w:p>
    <w:p>
      <w:pPr>
        <w:pStyle w:val="2"/>
        <w:spacing w:beforeLines="0"/>
        <w:ind w:left="0" w:firstLine="0"/>
      </w:pPr>
    </w:p>
    <w:p>
      <w:pPr>
        <w:pStyle w:val="2"/>
        <w:spacing w:beforeLines="0"/>
        <w:ind w:left="0" w:firstLine="0"/>
      </w:pPr>
    </w:p>
    <w:p>
      <w:pPr>
        <w:pStyle w:val="2"/>
        <w:spacing w:beforeLines="0"/>
      </w:pPr>
      <w:r>
        <w:rPr>
          <w:rFonts w:hint="eastAsia"/>
        </w:rPr>
        <w:drawing>
          <wp:inline distT="0" distB="0" distL="0" distR="0">
            <wp:extent cx="4786630" cy="2665730"/>
            <wp:effectExtent l="19050" t="0" r="13734" b="768"/>
            <wp:docPr id="28" name="图表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spacing w:line="600" w:lineRule="exact"/>
        <w:ind w:firstLine="640" w:firstLineChars="200"/>
        <w:rPr>
          <w:rFonts w:ascii="仿宋" w:hAnsi="仿宋" w:eastAsia="仿宋"/>
          <w:sz w:val="32"/>
          <w:szCs w:val="32"/>
        </w:rPr>
      </w:pPr>
      <w:r>
        <w:rPr>
          <w:rFonts w:hint="eastAsia" w:ascii="仿宋" w:hAnsi="仿宋" w:eastAsia="仿宋"/>
          <w:sz w:val="32"/>
          <w:szCs w:val="32"/>
        </w:rPr>
        <w:t>图6：一般公共预算财政拨款支出决算结构</w:t>
      </w:r>
    </w:p>
    <w:p>
      <w:pPr>
        <w:spacing w:line="600" w:lineRule="exact"/>
        <w:ind w:firstLine="642" w:firstLineChars="200"/>
        <w:outlineLvl w:val="2"/>
        <w:rPr>
          <w:rFonts w:ascii="仿宋" w:hAnsi="仿宋" w:eastAsia="仿宋"/>
          <w:b/>
          <w:sz w:val="32"/>
          <w:szCs w:val="32"/>
        </w:rPr>
      </w:pPr>
      <w:bookmarkStart w:id="41" w:name="_Toc15377212"/>
      <w:r>
        <w:rPr>
          <w:rFonts w:hint="eastAsia" w:ascii="仿宋" w:hAnsi="仿宋" w:eastAsia="仿宋"/>
          <w:b/>
          <w:sz w:val="32"/>
          <w:szCs w:val="32"/>
        </w:rPr>
        <w:t>（三）一般公共预算财政拨款支出决算具体情况</w:t>
      </w:r>
      <w:bookmarkEnd w:id="41"/>
    </w:p>
    <w:p>
      <w:pPr>
        <w:spacing w:line="600" w:lineRule="exact"/>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2023年一般公共预算支出决算数为224.83万元，完成预算100%。其中：</w:t>
      </w:r>
    </w:p>
    <w:p>
      <w:pPr>
        <w:spacing w:line="600" w:lineRule="exact"/>
        <w:ind w:firstLine="642"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1.一般公共服务（类）群众团体事务（款）行政运行（项）:</w:t>
      </w:r>
      <w:r>
        <w:rPr>
          <w:rFonts w:hint="eastAsia" w:ascii="仿宋_GB2312" w:hAnsi="仿宋_GB2312" w:eastAsia="仿宋_GB2312" w:cs="仿宋_GB2312"/>
          <w:sz w:val="32"/>
          <w:szCs w:val="32"/>
        </w:rPr>
        <w:t>支出决算为87.15万元，完成预算100%，决算数与预算数持平。</w:t>
      </w:r>
    </w:p>
    <w:p>
      <w:pPr>
        <w:spacing w:line="600" w:lineRule="exact"/>
        <w:ind w:firstLine="642"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2.一般公共服务（类）群众团体事务（款）一般行政管理事务（项）:</w:t>
      </w:r>
      <w:r>
        <w:rPr>
          <w:rFonts w:hint="eastAsia" w:ascii="仿宋_GB2312" w:hAnsi="仿宋_GB2312" w:eastAsia="仿宋_GB2312" w:cs="仿宋_GB2312"/>
          <w:sz w:val="32"/>
          <w:szCs w:val="32"/>
        </w:rPr>
        <w:t>支出决算为9万元，完成预算100%，决算数与预算数持平。</w:t>
      </w:r>
    </w:p>
    <w:p>
      <w:pPr>
        <w:spacing w:line="600" w:lineRule="exact"/>
        <w:ind w:firstLine="642"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3. 文化旅游体育与传媒支出（类）文化和旅游（款）文化活动（项）</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sz w:val="32"/>
          <w:szCs w:val="32"/>
        </w:rPr>
        <w:t>支出决算为20万元，完成预算100%，决算数与预算数持平。</w:t>
      </w:r>
    </w:p>
    <w:p>
      <w:pPr>
        <w:spacing w:line="600" w:lineRule="exact"/>
        <w:ind w:firstLine="642"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4.文化旅游体育与传媒支出（类）文化和旅游（款）文化创作与保护（项）：</w:t>
      </w:r>
      <w:r>
        <w:rPr>
          <w:rFonts w:hint="eastAsia" w:ascii="仿宋_GB2312" w:hAnsi="仿宋_GB2312" w:eastAsia="仿宋_GB2312" w:cs="仿宋_GB2312"/>
          <w:sz w:val="32"/>
          <w:szCs w:val="32"/>
        </w:rPr>
        <w:t>支出决算为80.63万元，完成预算100%，决算数与预算数持平。</w:t>
      </w:r>
    </w:p>
    <w:p>
      <w:pPr>
        <w:spacing w:line="600" w:lineRule="exact"/>
        <w:ind w:firstLine="642"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5.文化旅游体育与传媒支出（类）文化和旅游（款）    旅游宣传（项）：</w:t>
      </w:r>
      <w:r>
        <w:rPr>
          <w:rFonts w:hint="eastAsia" w:ascii="仿宋_GB2312" w:hAnsi="仿宋_GB2312" w:eastAsia="仿宋_GB2312" w:cs="仿宋_GB2312"/>
          <w:sz w:val="32"/>
          <w:szCs w:val="32"/>
        </w:rPr>
        <w:t>支出决算为5万元，完成预算100%，决算数与预算数持平。</w:t>
      </w:r>
    </w:p>
    <w:p>
      <w:pPr>
        <w:spacing w:line="600" w:lineRule="exact"/>
        <w:ind w:firstLine="642"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6.社会保障和就业（类）行政事业单位养老支出（款） 机关事业单位基本养老保险缴费支出（项）:</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sz w:val="32"/>
          <w:szCs w:val="32"/>
        </w:rPr>
        <w:t>支出决算为10.7万元，完成预算100%，决算数与预算数持平。</w:t>
      </w:r>
    </w:p>
    <w:p>
      <w:pPr>
        <w:spacing w:line="600" w:lineRule="exact"/>
        <w:ind w:firstLine="642"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7.社会保障和就业（类）其他社会保障和就业支出（款） 其他社会保障和就业支出（项）:</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sz w:val="32"/>
          <w:szCs w:val="32"/>
        </w:rPr>
        <w:t>支出决算为0.23万元，完成预算100%，决算数与预算数持平。</w:t>
      </w:r>
    </w:p>
    <w:p>
      <w:pPr>
        <w:spacing w:line="600" w:lineRule="exact"/>
        <w:ind w:firstLine="642"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8.卫生健康（类）行政事业单位医疗（款）事业单位医疗（项）:</w:t>
      </w:r>
      <w:r>
        <w:rPr>
          <w:rFonts w:hint="eastAsia" w:ascii="仿宋_GB2312" w:hAnsi="仿宋_GB2312" w:eastAsia="仿宋_GB2312" w:cs="仿宋_GB2312"/>
          <w:sz w:val="32"/>
          <w:szCs w:val="32"/>
        </w:rPr>
        <w:t>出决算为3.64万元，完成预算100%，决算数与预算数持平。</w:t>
      </w:r>
    </w:p>
    <w:p>
      <w:pPr>
        <w:spacing w:line="600" w:lineRule="exact"/>
        <w:ind w:firstLine="642"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9.住房保障支出（类）住房改革支出（款）住房公积金（项）：</w:t>
      </w:r>
      <w:r>
        <w:rPr>
          <w:rFonts w:hint="eastAsia" w:ascii="仿宋_GB2312" w:hAnsi="仿宋_GB2312" w:eastAsia="仿宋_GB2312" w:cs="仿宋_GB2312"/>
          <w:sz w:val="32"/>
          <w:szCs w:val="32"/>
        </w:rPr>
        <w:t>支出决算为8.47万元，完成预算100%，决算数与预算数持平。</w:t>
      </w:r>
    </w:p>
    <w:p>
      <w:pPr>
        <w:tabs>
          <w:tab w:val="right" w:pos="8306"/>
        </w:tabs>
        <w:spacing w:line="600" w:lineRule="exact"/>
        <w:ind w:firstLine="640"/>
        <w:outlineLvl w:val="1"/>
        <w:rPr>
          <w:rStyle w:val="19"/>
        </w:rPr>
      </w:pPr>
      <w:bookmarkStart w:id="42" w:name="_Toc15377214"/>
      <w:bookmarkStart w:id="43" w:name="_Toc2880"/>
      <w:bookmarkStart w:id="44" w:name="_Toc15396608"/>
      <w:r>
        <w:rPr>
          <w:rFonts w:hint="eastAsia" w:ascii="黑体" w:eastAsia="黑体"/>
          <w:sz w:val="32"/>
          <w:szCs w:val="32"/>
        </w:rPr>
        <w:t>六</w:t>
      </w:r>
      <w:r>
        <w:rPr>
          <w:rFonts w:hint="eastAsia" w:ascii="黑体" w:eastAsia="黑体"/>
          <w:b/>
          <w:sz w:val="32"/>
          <w:szCs w:val="32"/>
        </w:rPr>
        <w:t>、</w:t>
      </w:r>
      <w:r>
        <w:rPr>
          <w:rFonts w:hint="eastAsia" w:ascii="黑体" w:hAnsi="黑体" w:eastAsia="黑体"/>
          <w:b/>
          <w:sz w:val="32"/>
          <w:szCs w:val="32"/>
        </w:rPr>
        <w:t>一</w:t>
      </w:r>
      <w:r>
        <w:rPr>
          <w:rStyle w:val="19"/>
          <w:rFonts w:hint="eastAsia" w:ascii="黑体" w:hAnsi="黑体" w:eastAsia="黑体"/>
          <w:b w:val="0"/>
        </w:rPr>
        <w:t>般公共预算财政拨款基本支出决算情况说明</w:t>
      </w:r>
      <w:bookmarkEnd w:id="42"/>
      <w:bookmarkEnd w:id="43"/>
      <w:bookmarkEnd w:id="44"/>
      <w:r>
        <w:rPr>
          <w:rStyle w:val="19"/>
          <w:rFonts w:ascii="黑体" w:hAnsi="黑体" w:eastAsia="黑体"/>
          <w:b w:val="0"/>
        </w:rPr>
        <w:tab/>
      </w:r>
    </w:p>
    <w:p>
      <w:pPr>
        <w:spacing w:line="600" w:lineRule="exact"/>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2023年一般公共预算财政拨款基本支出110.2万元，其中：</w:t>
      </w:r>
    </w:p>
    <w:p>
      <w:pPr>
        <w:spacing w:line="600" w:lineRule="exact"/>
        <w:ind w:firstLine="642" w:firstLineChars="200"/>
        <w:rPr>
          <w:rFonts w:ascii="仿宋_GB2312" w:hAnsi="仿宋_GB2312" w:eastAsia="仿宋_GB2312" w:cs="仿宋_GB2312"/>
          <w:sz w:val="32"/>
          <w:szCs w:val="32"/>
          <w:lang w:val="zh-CN"/>
        </w:rPr>
      </w:pPr>
      <w:r>
        <w:rPr>
          <w:rFonts w:hint="eastAsia" w:ascii="仿宋_GB2312" w:hAnsi="仿宋_GB2312" w:eastAsia="仿宋_GB2312" w:cs="仿宋_GB2312"/>
          <w:b/>
          <w:bCs/>
          <w:sz w:val="32"/>
          <w:szCs w:val="32"/>
          <w:lang w:val="zh-CN"/>
        </w:rPr>
        <w:t>人员经费</w:t>
      </w:r>
      <w:r>
        <w:rPr>
          <w:rFonts w:hint="eastAsia" w:ascii="仿宋_GB2312" w:hAnsi="仿宋_GB2312" w:eastAsia="仿宋_GB2312" w:cs="仿宋_GB2312"/>
          <w:sz w:val="32"/>
          <w:szCs w:val="32"/>
          <w:lang w:val="zh-CN"/>
        </w:rPr>
        <w:t>94.63万元，主要包括：</w:t>
      </w:r>
      <w:r>
        <w:rPr>
          <w:rFonts w:hint="eastAsia" w:ascii="仿宋_GB2312" w:hAnsi="仿宋_GB2312" w:eastAsia="仿宋_GB2312" w:cs="仿宋_GB2312"/>
          <w:sz w:val="32"/>
          <w:szCs w:val="32"/>
        </w:rPr>
        <w:t>基本工资、津贴补贴、奖金、机关事业单位基本养老保险缴费、职工基本医疗保险缴费、其他社会保障缴费、住房公积金</w:t>
      </w:r>
      <w:r>
        <w:rPr>
          <w:rFonts w:hint="eastAsia" w:ascii="仿宋_GB2312" w:hAnsi="仿宋_GB2312" w:eastAsia="仿宋_GB2312" w:cs="仿宋_GB2312"/>
          <w:sz w:val="32"/>
          <w:szCs w:val="32"/>
          <w:lang w:val="zh-CN"/>
        </w:rPr>
        <w:t>。</w:t>
      </w:r>
    </w:p>
    <w:p>
      <w:pPr>
        <w:spacing w:line="600" w:lineRule="exact"/>
        <w:ind w:firstLine="642" w:firstLineChars="200"/>
        <w:rPr>
          <w:rFonts w:ascii="仿宋_GB2312" w:hAnsi="仿宋_GB2312" w:eastAsia="仿宋_GB2312" w:cs="仿宋_GB2312"/>
          <w:sz w:val="32"/>
          <w:szCs w:val="32"/>
          <w:lang w:val="zh-CN"/>
        </w:rPr>
      </w:pPr>
      <w:r>
        <w:rPr>
          <w:rFonts w:hint="eastAsia" w:ascii="仿宋_GB2312" w:hAnsi="仿宋_GB2312" w:eastAsia="仿宋_GB2312" w:cs="仿宋_GB2312"/>
          <w:b/>
          <w:bCs/>
          <w:sz w:val="32"/>
          <w:szCs w:val="32"/>
          <w:lang w:val="zh-CN"/>
        </w:rPr>
        <w:t>公用经费</w:t>
      </w:r>
      <w:r>
        <w:rPr>
          <w:rFonts w:hint="eastAsia" w:ascii="仿宋_GB2312" w:hAnsi="仿宋_GB2312" w:eastAsia="仿宋_GB2312" w:cs="仿宋_GB2312"/>
          <w:sz w:val="32"/>
          <w:szCs w:val="32"/>
          <w:lang w:val="zh-CN"/>
        </w:rPr>
        <w:t>15.57万元，主要包括：</w:t>
      </w:r>
      <w:r>
        <w:rPr>
          <w:rFonts w:hint="eastAsia" w:ascii="仿宋_GB2312" w:hAnsi="仿宋_GB2312" w:eastAsia="仿宋_GB2312" w:cs="仿宋_GB2312"/>
          <w:sz w:val="32"/>
          <w:szCs w:val="32"/>
        </w:rPr>
        <w:t>办公费、水费、电费、差旅费、维修（护）费、会议费、培训费、公务接待费、委托业务费、工会经费、福利费、其他交通费</w:t>
      </w:r>
      <w:r>
        <w:rPr>
          <w:rFonts w:hint="eastAsia" w:ascii="仿宋_GB2312" w:hAnsi="仿宋_GB2312" w:eastAsia="仿宋_GB2312" w:cs="仿宋_GB2312"/>
          <w:sz w:val="32"/>
          <w:szCs w:val="32"/>
          <w:lang w:val="en-US" w:eastAsia="zh-CN"/>
        </w:rPr>
        <w:t>用</w:t>
      </w:r>
      <w:r>
        <w:rPr>
          <w:rFonts w:hint="eastAsia" w:ascii="仿宋_GB2312" w:hAnsi="仿宋_GB2312" w:eastAsia="仿宋_GB2312" w:cs="仿宋_GB2312"/>
          <w:sz w:val="32"/>
          <w:szCs w:val="32"/>
        </w:rPr>
        <w:t>、其他商品和服务支出</w:t>
      </w:r>
      <w:r>
        <w:rPr>
          <w:rFonts w:hint="eastAsia" w:ascii="仿宋_GB2312" w:hAnsi="仿宋_GB2312" w:eastAsia="仿宋_GB2312" w:cs="仿宋_GB2312"/>
          <w:sz w:val="32"/>
          <w:szCs w:val="32"/>
          <w:lang w:val="zh-CN"/>
        </w:rPr>
        <w:t>。</w:t>
      </w:r>
    </w:p>
    <w:p>
      <w:pPr>
        <w:spacing w:line="600" w:lineRule="exact"/>
        <w:ind w:firstLine="640"/>
        <w:outlineLvl w:val="1"/>
        <w:rPr>
          <w:rStyle w:val="19"/>
          <w:rFonts w:ascii="黑体" w:hAnsi="黑体" w:eastAsia="黑体"/>
          <w:b w:val="0"/>
        </w:rPr>
      </w:pPr>
      <w:bookmarkStart w:id="45" w:name="_Toc15396609"/>
      <w:bookmarkStart w:id="46" w:name="_Toc7827"/>
      <w:bookmarkStart w:id="47" w:name="_Toc15377215"/>
      <w:r>
        <w:rPr>
          <w:rFonts w:hint="eastAsia" w:ascii="黑体" w:eastAsia="黑体"/>
          <w:sz w:val="32"/>
          <w:szCs w:val="32"/>
        </w:rPr>
        <w:t>七、</w:t>
      </w:r>
      <w:r>
        <w:rPr>
          <w:rStyle w:val="19"/>
          <w:rFonts w:hint="eastAsia" w:ascii="黑体" w:hAnsi="黑体" w:eastAsia="黑体"/>
          <w:b w:val="0"/>
        </w:rPr>
        <w:t>财政拨款</w:t>
      </w:r>
      <w:r>
        <w:rPr>
          <w:rStyle w:val="19"/>
          <w:rFonts w:hint="eastAsia" w:ascii="黑体" w:hAnsi="黑体" w:eastAsia="黑体"/>
        </w:rPr>
        <w:t>“</w:t>
      </w:r>
      <w:r>
        <w:rPr>
          <w:rStyle w:val="19"/>
          <w:rFonts w:hint="eastAsia" w:ascii="黑体" w:hAnsi="黑体" w:eastAsia="黑体"/>
          <w:b w:val="0"/>
        </w:rPr>
        <w:t>三公”经费支出决算情况说明</w:t>
      </w:r>
      <w:bookmarkEnd w:id="45"/>
      <w:bookmarkEnd w:id="46"/>
      <w:bookmarkEnd w:id="47"/>
    </w:p>
    <w:p>
      <w:pPr>
        <w:spacing w:line="600" w:lineRule="exact"/>
        <w:ind w:firstLine="640"/>
        <w:outlineLvl w:val="2"/>
        <w:rPr>
          <w:rFonts w:ascii="仿宋_GB2312" w:hAnsi="仿宋_GB2312" w:eastAsia="仿宋_GB2312" w:cs="仿宋_GB2312"/>
          <w:b/>
          <w:sz w:val="32"/>
          <w:szCs w:val="32"/>
        </w:rPr>
      </w:pPr>
      <w:bookmarkStart w:id="48" w:name="_Toc15377216"/>
      <w:r>
        <w:rPr>
          <w:rFonts w:hint="eastAsia" w:ascii="仿宋_GB2312" w:hAnsi="仿宋_GB2312" w:eastAsia="仿宋_GB2312" w:cs="仿宋_GB2312"/>
          <w:b/>
          <w:sz w:val="32"/>
          <w:szCs w:val="32"/>
        </w:rPr>
        <w:t>（一）“三公”经费财政拨款支出决算总体情况说明</w:t>
      </w:r>
      <w:bookmarkEnd w:id="48"/>
    </w:p>
    <w:p>
      <w:pPr>
        <w:keepNext/>
        <w:keepLines/>
        <w:spacing w:line="576" w:lineRule="exact"/>
        <w:ind w:firstLine="640"/>
        <w:rPr>
          <w:rFonts w:ascii="仿宋_GB2312" w:hAnsi="仿宋_GB2312" w:eastAsia="仿宋_GB2312" w:cs="仿宋_GB2312"/>
          <w:sz w:val="32"/>
          <w:szCs w:val="32"/>
          <w:lang w:val="zh-CN"/>
        </w:rPr>
      </w:pPr>
      <w:r>
        <w:rPr>
          <w:rFonts w:hint="eastAsia" w:ascii="仿宋_GB2312" w:hAnsi="仿宋_GB2312" w:eastAsia="仿宋_GB2312"/>
          <w:sz w:val="32"/>
          <w:lang w:val="zh-CN"/>
        </w:rPr>
        <w:t>2023年</w:t>
      </w:r>
      <w:r>
        <w:rPr>
          <w:rFonts w:ascii="仿宋_GB2312" w:hAnsi="仿宋_GB2312" w:eastAsia="仿宋_GB2312"/>
          <w:sz w:val="32"/>
          <w:lang w:val="zh-CN"/>
        </w:rPr>
        <w:t>“</w:t>
      </w:r>
      <w:r>
        <w:rPr>
          <w:rFonts w:hint="eastAsia" w:ascii="仿宋_GB2312" w:hAnsi="仿宋_GB2312" w:eastAsia="仿宋_GB2312"/>
          <w:sz w:val="32"/>
          <w:lang w:val="zh-CN"/>
        </w:rPr>
        <w:t>三公</w:t>
      </w:r>
      <w:r>
        <w:rPr>
          <w:rFonts w:ascii="仿宋_GB2312" w:hAnsi="仿宋_GB2312" w:eastAsia="仿宋_GB2312"/>
          <w:sz w:val="32"/>
          <w:lang w:val="zh-CN"/>
        </w:rPr>
        <w:t>”</w:t>
      </w:r>
      <w:r>
        <w:rPr>
          <w:rFonts w:hint="eastAsia" w:ascii="仿宋_GB2312" w:hAnsi="仿宋_GB2312" w:eastAsia="仿宋_GB2312"/>
          <w:sz w:val="32"/>
          <w:lang w:val="zh-CN"/>
        </w:rPr>
        <w:t>经费财政拨款支出决算为0.2万元，完成预算达</w:t>
      </w:r>
      <w:r>
        <w:rPr>
          <w:rFonts w:hint="eastAsia" w:ascii="仿宋_GB2312" w:hAnsi="仿宋_GB2312" w:eastAsia="仿宋_GB2312"/>
          <w:sz w:val="32"/>
        </w:rPr>
        <w:t>100</w:t>
      </w:r>
      <w:r>
        <w:rPr>
          <w:rFonts w:hint="eastAsia" w:ascii="仿宋_GB2312" w:hAnsi="仿宋_GB2312" w:eastAsia="仿宋_GB2312"/>
          <w:sz w:val="32"/>
          <w:lang w:val="zh-CN"/>
        </w:rPr>
        <w:t>%；较上年减少0.05万元，下降20%。决算数与预</w:t>
      </w:r>
      <w:r>
        <w:rPr>
          <w:rFonts w:hint="eastAsia" w:ascii="仿宋_GB2312" w:hAnsi="仿宋_GB2312" w:eastAsia="仿宋_GB2312"/>
          <w:color w:val="auto"/>
          <w:sz w:val="32"/>
          <w:highlight w:val="none"/>
          <w:lang w:val="zh-CN"/>
        </w:rPr>
        <w:t>算数</w:t>
      </w:r>
      <w:r>
        <w:rPr>
          <w:rFonts w:hint="eastAsia" w:ascii="仿宋_GB2312" w:hAnsi="仿宋_GB2312" w:eastAsia="仿宋_GB2312"/>
          <w:color w:val="auto"/>
          <w:sz w:val="32"/>
          <w:highlight w:val="none"/>
        </w:rPr>
        <w:t>持平</w:t>
      </w:r>
      <w:r>
        <w:rPr>
          <w:rFonts w:hint="eastAsia" w:ascii="仿宋_GB2312" w:hAnsi="仿宋_GB2312" w:eastAsia="仿宋_GB2312"/>
          <w:color w:val="auto"/>
          <w:sz w:val="32"/>
          <w:highlight w:val="none"/>
          <w:lang w:val="zh-CN"/>
        </w:rPr>
        <w:t>。</w:t>
      </w:r>
    </w:p>
    <w:p>
      <w:pPr>
        <w:spacing w:line="600" w:lineRule="exact"/>
        <w:ind w:firstLine="640"/>
        <w:outlineLvl w:val="2"/>
        <w:rPr>
          <w:rFonts w:ascii="仿宋_GB2312" w:hAnsi="仿宋_GB2312" w:eastAsia="仿宋_GB2312" w:cs="仿宋_GB2312"/>
          <w:b/>
          <w:sz w:val="32"/>
          <w:szCs w:val="32"/>
        </w:rPr>
      </w:pPr>
      <w:bookmarkStart w:id="49" w:name="_Toc15377217"/>
      <w:r>
        <w:rPr>
          <w:rFonts w:hint="eastAsia" w:ascii="仿宋_GB2312" w:hAnsi="仿宋_GB2312" w:eastAsia="仿宋_GB2312" w:cs="仿宋_GB2312"/>
          <w:b/>
          <w:sz w:val="32"/>
          <w:szCs w:val="32"/>
        </w:rPr>
        <w:t>（二）“三公”经费财政拨款支出决算具体情况说明</w:t>
      </w:r>
      <w:bookmarkEnd w:id="49"/>
    </w:p>
    <w:p>
      <w:pPr>
        <w:spacing w:line="600" w:lineRule="exact"/>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2023年</w:t>
      </w:r>
      <w:r>
        <w:rPr>
          <w:rFonts w:ascii="仿宋_GB2312" w:hAnsi="仿宋_GB2312" w:eastAsia="仿宋_GB2312" w:cs="仿宋_GB2312"/>
          <w:sz w:val="32"/>
          <w:szCs w:val="32"/>
          <w:lang w:val="zh-CN"/>
        </w:rPr>
        <w:t>“</w:t>
      </w:r>
      <w:r>
        <w:rPr>
          <w:rFonts w:hint="eastAsia" w:ascii="仿宋_GB2312" w:hAnsi="仿宋_GB2312" w:eastAsia="仿宋_GB2312" w:cs="仿宋_GB2312"/>
          <w:sz w:val="32"/>
          <w:szCs w:val="32"/>
          <w:lang w:val="zh-CN"/>
        </w:rPr>
        <w:t>三公</w:t>
      </w:r>
      <w:r>
        <w:rPr>
          <w:rFonts w:ascii="仿宋_GB2312" w:hAnsi="仿宋_GB2312" w:eastAsia="仿宋_GB2312" w:cs="仿宋_GB2312"/>
          <w:sz w:val="32"/>
          <w:szCs w:val="32"/>
          <w:lang w:val="zh-CN"/>
        </w:rPr>
        <w:t>”</w:t>
      </w:r>
      <w:r>
        <w:rPr>
          <w:rFonts w:hint="eastAsia" w:ascii="仿宋_GB2312" w:hAnsi="仿宋_GB2312" w:eastAsia="仿宋_GB2312" w:cs="仿宋_GB2312"/>
          <w:sz w:val="32"/>
          <w:szCs w:val="32"/>
          <w:lang w:val="zh-CN"/>
        </w:rPr>
        <w:t>经费财政拨款支出决算中，因公出国（境）费支出决算0万元，占0%；公务用车购置及运行维护费支出决算0万元，占0%；公务接待费支出决算0.2万元，占100%。具体情况如下：</w:t>
      </w:r>
    </w:p>
    <w:p>
      <w:pPr>
        <w:pStyle w:val="2"/>
        <w:spacing w:beforeLines="0"/>
        <w:ind w:left="0" w:firstLine="0"/>
        <w:rPr>
          <w:rFonts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rPr>
        <w:drawing>
          <wp:anchor distT="0" distB="0" distL="114300" distR="114300" simplePos="0" relativeHeight="251665408" behindDoc="0" locked="0" layoutInCell="1" allowOverlap="1">
            <wp:simplePos x="0" y="0"/>
            <wp:positionH relativeFrom="column">
              <wp:posOffset>34925</wp:posOffset>
            </wp:positionH>
            <wp:positionV relativeFrom="paragraph">
              <wp:posOffset>190500</wp:posOffset>
            </wp:positionV>
            <wp:extent cx="5060315" cy="2998470"/>
            <wp:effectExtent l="19050" t="0" r="25902" b="0"/>
            <wp:wrapNone/>
            <wp:docPr id="30"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p>
    <w:p>
      <w:pPr>
        <w:pStyle w:val="2"/>
        <w:spacing w:beforeLines="0"/>
        <w:ind w:left="0" w:firstLine="0"/>
        <w:rPr>
          <w:rFonts w:ascii="仿宋_GB2312" w:hAnsi="仿宋_GB2312" w:eastAsia="仿宋_GB2312" w:cs="仿宋_GB2312"/>
          <w:color w:val="auto"/>
          <w:sz w:val="32"/>
          <w:szCs w:val="32"/>
          <w:lang w:val="zh-CN"/>
        </w:rPr>
      </w:pPr>
    </w:p>
    <w:p>
      <w:pPr>
        <w:pStyle w:val="2"/>
        <w:spacing w:beforeLines="0"/>
        <w:ind w:left="0" w:firstLine="0"/>
        <w:rPr>
          <w:rFonts w:ascii="仿宋_GB2312" w:hAnsi="仿宋_GB2312" w:eastAsia="仿宋_GB2312" w:cs="仿宋_GB2312"/>
          <w:color w:val="auto"/>
          <w:sz w:val="32"/>
          <w:szCs w:val="32"/>
          <w:lang w:val="zh-CN"/>
        </w:rPr>
      </w:pPr>
    </w:p>
    <w:p>
      <w:pPr>
        <w:pStyle w:val="2"/>
        <w:spacing w:beforeLines="0"/>
        <w:ind w:left="0" w:firstLine="0"/>
        <w:rPr>
          <w:rFonts w:ascii="仿宋_GB2312" w:hAnsi="仿宋_GB2312" w:eastAsia="仿宋_GB2312" w:cs="仿宋_GB2312"/>
          <w:color w:val="auto"/>
          <w:sz w:val="32"/>
          <w:szCs w:val="32"/>
          <w:lang w:val="zh-CN"/>
        </w:rPr>
      </w:pPr>
    </w:p>
    <w:p>
      <w:pPr>
        <w:pStyle w:val="2"/>
        <w:spacing w:beforeLines="0"/>
        <w:ind w:left="0" w:firstLine="0"/>
        <w:rPr>
          <w:rFonts w:ascii="仿宋_GB2312" w:hAnsi="仿宋_GB2312" w:eastAsia="仿宋_GB2312" w:cs="仿宋_GB2312"/>
          <w:color w:val="auto"/>
          <w:sz w:val="32"/>
          <w:szCs w:val="32"/>
          <w:lang w:val="zh-CN"/>
        </w:rPr>
      </w:pPr>
    </w:p>
    <w:p>
      <w:pPr>
        <w:pStyle w:val="2"/>
        <w:spacing w:beforeLines="0"/>
        <w:ind w:left="0" w:firstLine="0"/>
        <w:rPr>
          <w:rFonts w:ascii="仿宋_GB2312" w:hAnsi="仿宋_GB2312" w:eastAsia="仿宋_GB2312" w:cs="仿宋_GB2312"/>
          <w:color w:val="auto"/>
          <w:sz w:val="32"/>
          <w:szCs w:val="32"/>
          <w:lang w:val="zh-CN"/>
        </w:rPr>
      </w:pPr>
    </w:p>
    <w:p>
      <w:pPr>
        <w:pStyle w:val="2"/>
        <w:spacing w:beforeLines="0"/>
        <w:ind w:left="0" w:firstLine="0"/>
        <w:rPr>
          <w:rFonts w:ascii="仿宋_GB2312" w:hAnsi="仿宋_GB2312" w:eastAsia="仿宋_GB2312" w:cs="仿宋_GB2312"/>
          <w:color w:val="auto"/>
          <w:sz w:val="32"/>
          <w:szCs w:val="32"/>
          <w:lang w:val="zh-CN"/>
        </w:rPr>
      </w:pPr>
    </w:p>
    <w:p>
      <w:pPr>
        <w:pStyle w:val="2"/>
        <w:spacing w:beforeLines="0"/>
        <w:ind w:left="0" w:firstLine="0"/>
        <w:rPr>
          <w:rFonts w:ascii="仿宋_GB2312" w:hAnsi="仿宋_GB2312" w:eastAsia="仿宋_GB2312" w:cs="仿宋_GB2312"/>
          <w:color w:val="auto"/>
          <w:sz w:val="32"/>
          <w:szCs w:val="32"/>
          <w:lang w:val="zh-CN"/>
        </w:rPr>
      </w:pPr>
    </w:p>
    <w:p>
      <w:pPr>
        <w:spacing w:line="600" w:lineRule="exact"/>
        <w:ind w:firstLine="2252" w:firstLineChars="704"/>
        <w:rPr>
          <w:rFonts w:ascii="仿宋" w:hAnsi="仿宋" w:eastAsia="仿宋"/>
          <w:sz w:val="32"/>
          <w:szCs w:val="32"/>
        </w:rPr>
      </w:pPr>
      <w:r>
        <w:rPr>
          <w:rFonts w:hint="eastAsia" w:ascii="仿宋" w:hAnsi="仿宋" w:eastAsia="仿宋"/>
          <w:sz w:val="32"/>
          <w:szCs w:val="32"/>
        </w:rPr>
        <w:t>图7：“三公”经费财政拨款支出结构</w:t>
      </w:r>
    </w:p>
    <w:p>
      <w:pPr>
        <w:spacing w:line="600" w:lineRule="exact"/>
        <w:ind w:firstLine="642"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1.因公出国（境）经费</w:t>
      </w:r>
      <w:r>
        <w:rPr>
          <w:rFonts w:hint="eastAsia" w:ascii="仿宋_GB2312" w:hAnsi="仿宋_GB2312" w:eastAsia="仿宋_GB2312" w:cs="仿宋_GB2312"/>
          <w:sz w:val="32"/>
          <w:szCs w:val="32"/>
        </w:rPr>
        <w:t>支出0万元，年初未安排预算，因公出国（境）支出决算较2022年无变化。</w:t>
      </w:r>
    </w:p>
    <w:p>
      <w:pPr>
        <w:spacing w:line="600" w:lineRule="exact"/>
        <w:ind w:firstLine="642"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2.公务用车购置及运行维护费</w:t>
      </w:r>
      <w:r>
        <w:rPr>
          <w:rFonts w:hint="eastAsia" w:ascii="仿宋_GB2312" w:hAnsi="仿宋_GB2312" w:eastAsia="仿宋_GB2312" w:cs="仿宋_GB2312"/>
          <w:sz w:val="32"/>
          <w:szCs w:val="32"/>
        </w:rPr>
        <w:t>支出0万元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年初未安排预算，公务用车购置及运行维护费较2022年无变化。</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其中：公务用车购置支出0万元。全年按规定更新购置公务用车0辆。截至2023年12月底，单位共有公务用车0辆。</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公务用车运行维护费支出0万元。</w:t>
      </w:r>
    </w:p>
    <w:p>
      <w:pPr>
        <w:spacing w:line="600" w:lineRule="exact"/>
        <w:ind w:firstLine="642" w:firstLineChars="200"/>
        <w:rPr>
          <w:rFonts w:ascii="仿宋_GB2312" w:hAnsi="仿宋_GB2312" w:eastAsia="仿宋_GB2312" w:cs="仿宋_GB2312"/>
          <w:sz w:val="32"/>
          <w:szCs w:val="32"/>
          <w:lang w:val="zh-CN"/>
        </w:rPr>
      </w:pPr>
      <w:r>
        <w:rPr>
          <w:rFonts w:hint="eastAsia" w:ascii="仿宋_GB2312" w:hAnsi="仿宋_GB2312" w:eastAsia="仿宋_GB2312" w:cs="仿宋_GB2312"/>
          <w:b/>
          <w:bCs/>
          <w:sz w:val="32"/>
          <w:szCs w:val="32"/>
          <w:lang w:val="zh-CN"/>
        </w:rPr>
        <w:t>3.公务接待费</w:t>
      </w:r>
      <w:r>
        <w:rPr>
          <w:rFonts w:hint="eastAsia" w:ascii="仿宋_GB2312" w:hAnsi="仿宋_GB2312" w:eastAsia="仿宋_GB2312" w:cs="仿宋_GB2312"/>
          <w:sz w:val="32"/>
          <w:szCs w:val="32"/>
          <w:lang w:val="zh-CN"/>
        </w:rPr>
        <w:t>支出0.2万元，完成预算</w:t>
      </w:r>
      <w:r>
        <w:rPr>
          <w:rFonts w:hint="eastAsia" w:ascii="仿宋_GB2312" w:hAnsi="仿宋_GB2312" w:eastAsia="仿宋_GB2312" w:cs="仿宋_GB2312"/>
          <w:sz w:val="32"/>
          <w:szCs w:val="32"/>
        </w:rPr>
        <w:t>100</w:t>
      </w:r>
      <w:r>
        <w:rPr>
          <w:rFonts w:hint="eastAsia" w:ascii="仿宋_GB2312" w:hAnsi="仿宋_GB2312" w:eastAsia="仿宋_GB2312" w:cs="仿宋_GB2312"/>
          <w:sz w:val="32"/>
          <w:szCs w:val="32"/>
          <w:lang w:val="zh-CN"/>
        </w:rPr>
        <w:t>%。公务接待费支出决算比2022年减少0.05万元，下降20%。主要原因是进一步健全内控制度，严控接待费用支出。其中：</w:t>
      </w:r>
    </w:p>
    <w:p>
      <w:pPr>
        <w:spacing w:line="600" w:lineRule="exact"/>
        <w:ind w:firstLine="642"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国内公务接待</w:t>
      </w:r>
      <w:r>
        <w:rPr>
          <w:rFonts w:hint="eastAsia" w:ascii="仿宋_GB2312" w:hAnsi="仿宋_GB2312" w:eastAsia="仿宋_GB2312" w:cs="仿宋_GB2312"/>
          <w:sz w:val="32"/>
          <w:szCs w:val="32"/>
        </w:rPr>
        <w:t>支出0.2万元，</w:t>
      </w:r>
      <w:r>
        <w:rPr>
          <w:rFonts w:hint="eastAsia" w:ascii="仿宋_GB2312" w:eastAsia="仿宋_GB2312"/>
          <w:sz w:val="32"/>
          <w:szCs w:val="32"/>
        </w:rPr>
        <w:t>主要用于开展文学工作和文学交流活动发生的用餐费等</w:t>
      </w:r>
      <w:r>
        <w:rPr>
          <w:rFonts w:hint="eastAsia" w:ascii="仿宋_GB2312" w:hAnsi="仿宋_GB2312" w:eastAsia="仿宋_GB2312" w:cs="仿宋_GB2312"/>
          <w:sz w:val="32"/>
          <w:szCs w:val="32"/>
        </w:rPr>
        <w:t>。国内公务接待4批次，16人次（不包括陪同人员），共计支出0.2万元，主要用于接待南充市作协来广开展文学交流活动680元；接待青川木鱼中学一行接待费用720元；中华文学基金会考察发生接待费用389元；接待剑阁作协来我单位开展公务活动接待费211元。</w:t>
      </w:r>
    </w:p>
    <w:p>
      <w:pPr>
        <w:spacing w:line="600" w:lineRule="exact"/>
        <w:ind w:firstLine="642"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外事接待支出</w:t>
      </w:r>
      <w:r>
        <w:rPr>
          <w:rFonts w:hint="eastAsia" w:ascii="仿宋_GB2312" w:hAnsi="仿宋_GB2312" w:eastAsia="仿宋_GB2312" w:cs="仿宋_GB2312"/>
          <w:sz w:val="32"/>
          <w:szCs w:val="32"/>
        </w:rPr>
        <w:t>0万元。</w:t>
      </w:r>
    </w:p>
    <w:p>
      <w:pPr>
        <w:keepNext/>
        <w:keepLines/>
        <w:spacing w:line="576" w:lineRule="exact"/>
        <w:ind w:firstLine="640"/>
        <w:outlineLvl w:val="1"/>
        <w:rPr>
          <w:rFonts w:ascii="黑体" w:hAnsi="黑体" w:eastAsia="黑体"/>
          <w:b/>
          <w:sz w:val="32"/>
          <w:lang w:val="zh-CN"/>
        </w:rPr>
      </w:pPr>
      <w:bookmarkStart w:id="50" w:name="_Toc24995"/>
      <w:r>
        <w:rPr>
          <w:rFonts w:hint="eastAsia" w:ascii="黑体" w:hAnsi="黑体" w:eastAsia="黑体"/>
          <w:color w:val="000000"/>
          <w:sz w:val="32"/>
          <w:lang w:val="zh-CN"/>
        </w:rPr>
        <w:t>八、</w:t>
      </w:r>
      <w:r>
        <w:rPr>
          <w:rFonts w:hint="eastAsia" w:ascii="黑体" w:hAnsi="黑体" w:eastAsia="黑体"/>
          <w:sz w:val="32"/>
          <w:lang w:val="zh-CN"/>
        </w:rPr>
        <w:t>政府性基金预算支出决算情况说明</w:t>
      </w:r>
      <w:bookmarkEnd w:id="50"/>
    </w:p>
    <w:p>
      <w:pPr>
        <w:spacing w:line="576" w:lineRule="exact"/>
        <w:ind w:firstLine="640"/>
        <w:rPr>
          <w:rFonts w:ascii="仿宋_GB2312" w:hAnsi="仿宋_GB2312" w:eastAsia="仿宋_GB2312"/>
          <w:color w:val="000000"/>
          <w:sz w:val="32"/>
          <w:lang w:val="zh-CN"/>
        </w:rPr>
      </w:pPr>
      <w:r>
        <w:rPr>
          <w:rFonts w:hint="eastAsia" w:ascii="仿宋_GB2312" w:hAnsi="仿宋_GB2312" w:eastAsia="仿宋_GB2312"/>
          <w:color w:val="000000"/>
          <w:sz w:val="32"/>
          <w:lang w:val="zh-CN"/>
        </w:rPr>
        <w:t>2023年政府性基金预算拨款支出0万元。</w:t>
      </w:r>
    </w:p>
    <w:p>
      <w:pPr>
        <w:keepNext/>
        <w:keepLines/>
        <w:spacing w:line="576" w:lineRule="exact"/>
        <w:ind w:firstLine="640"/>
        <w:outlineLvl w:val="1"/>
        <w:rPr>
          <w:rFonts w:ascii="黑体" w:hAnsi="黑体" w:eastAsia="黑体"/>
          <w:sz w:val="32"/>
          <w:lang w:val="zh-CN"/>
        </w:rPr>
      </w:pPr>
      <w:bookmarkStart w:id="51" w:name="_Toc20048"/>
      <w:r>
        <w:rPr>
          <w:rFonts w:hint="eastAsia" w:ascii="黑体" w:hAnsi="黑体" w:eastAsia="黑体"/>
          <w:sz w:val="32"/>
          <w:lang w:val="zh-CN"/>
        </w:rPr>
        <w:t>九、国有资本经营预算支出决算情况说明</w:t>
      </w:r>
      <w:bookmarkEnd w:id="51"/>
    </w:p>
    <w:p>
      <w:pPr>
        <w:spacing w:line="576" w:lineRule="exact"/>
        <w:ind w:firstLine="640"/>
        <w:rPr>
          <w:rFonts w:ascii="仿宋_GB2312" w:hAnsi="仿宋_GB2312" w:eastAsia="仿宋_GB2312"/>
          <w:color w:val="000000"/>
          <w:sz w:val="32"/>
          <w:lang w:val="zh-CN"/>
        </w:rPr>
      </w:pPr>
      <w:r>
        <w:rPr>
          <w:rFonts w:hint="eastAsia" w:ascii="仿宋_GB2312" w:hAnsi="仿宋_GB2312" w:eastAsia="仿宋_GB2312"/>
          <w:color w:val="000000"/>
          <w:sz w:val="32"/>
          <w:lang w:val="zh-CN"/>
        </w:rPr>
        <w:t>2023年国有资本经营预算拨款支出0万元。</w:t>
      </w:r>
    </w:p>
    <w:p>
      <w:pPr>
        <w:keepNext/>
        <w:keepLines/>
        <w:spacing w:line="576" w:lineRule="exact"/>
        <w:ind w:firstLine="640"/>
        <w:outlineLvl w:val="1"/>
        <w:rPr>
          <w:rFonts w:ascii="黑体" w:hAnsi="黑体" w:eastAsia="黑体"/>
          <w:b/>
          <w:sz w:val="32"/>
          <w:lang w:val="zh-CN"/>
        </w:rPr>
      </w:pPr>
      <w:bookmarkStart w:id="52" w:name="_Toc8163"/>
      <w:r>
        <w:rPr>
          <w:rFonts w:hint="eastAsia" w:ascii="黑体" w:hAnsi="黑体" w:eastAsia="黑体"/>
          <w:color w:val="000000"/>
          <w:sz w:val="32"/>
          <w:lang w:val="zh-CN"/>
        </w:rPr>
        <w:t>十</w:t>
      </w:r>
      <w:r>
        <w:rPr>
          <w:rFonts w:hint="eastAsia" w:ascii="黑体" w:hAnsi="黑体" w:eastAsia="黑体"/>
          <w:b/>
          <w:sz w:val="32"/>
          <w:lang w:val="zh-CN"/>
        </w:rPr>
        <w:t>、</w:t>
      </w:r>
      <w:r>
        <w:rPr>
          <w:rFonts w:hint="eastAsia" w:ascii="黑体" w:hAnsi="黑体" w:eastAsia="黑体"/>
          <w:sz w:val="32"/>
          <w:lang w:val="zh-CN"/>
        </w:rPr>
        <w:t>其他重要事项的情况说明</w:t>
      </w:r>
      <w:bookmarkEnd w:id="52"/>
    </w:p>
    <w:p>
      <w:pPr>
        <w:keepNext/>
        <w:keepLines/>
        <w:spacing w:line="576" w:lineRule="exact"/>
        <w:ind w:firstLine="643"/>
        <w:rPr>
          <w:rFonts w:ascii="仿宋_GB2312" w:hAnsi="仿宋_GB2312" w:eastAsia="仿宋_GB2312"/>
          <w:color w:val="000000"/>
          <w:sz w:val="32"/>
          <w:lang w:val="zh-CN"/>
        </w:rPr>
      </w:pPr>
      <w:r>
        <w:rPr>
          <w:rFonts w:hint="eastAsia" w:ascii="仿宋_GB2312" w:hAnsi="仿宋_GB2312" w:eastAsia="仿宋_GB2312"/>
          <w:b/>
          <w:color w:val="000000"/>
          <w:sz w:val="32"/>
          <w:lang w:val="zh-CN"/>
        </w:rPr>
        <w:t>（一）机关运行经费支出情况</w:t>
      </w:r>
    </w:p>
    <w:p>
      <w:pPr>
        <w:spacing w:line="576" w:lineRule="exact"/>
        <w:ind w:firstLine="640"/>
        <w:rPr>
          <w:rFonts w:hint="eastAsia" w:ascii="仿宋_GB2312" w:hAnsi="仿宋_GB2312" w:eastAsia="仿宋_GB2312"/>
          <w:sz w:val="32"/>
          <w:lang w:val="zh-CN"/>
        </w:rPr>
      </w:pPr>
      <w:r>
        <w:rPr>
          <w:rFonts w:hint="eastAsia" w:ascii="仿宋_GB2312" w:hAnsi="仿宋_GB2312" w:eastAsia="仿宋_GB2312"/>
          <w:color w:val="000000"/>
          <w:sz w:val="32"/>
          <w:lang w:val="zh-CN"/>
        </w:rPr>
        <w:t>2023年，广元市作家协会机关运行经费支出15.57万元，比2022年增加3.12万元，增</w:t>
      </w:r>
      <w:r>
        <w:rPr>
          <w:rFonts w:hint="eastAsia" w:ascii="仿宋_GB2312" w:hAnsi="仿宋_GB2312" w:eastAsia="仿宋_GB2312"/>
          <w:sz w:val="32"/>
          <w:lang w:val="zh-CN"/>
        </w:rPr>
        <w:t>长25.1%。主要原因是年度人员调动所致。</w:t>
      </w:r>
    </w:p>
    <w:p>
      <w:pPr>
        <w:keepNext/>
        <w:keepLines/>
        <w:spacing w:line="576" w:lineRule="exact"/>
        <w:ind w:firstLine="643"/>
        <w:rPr>
          <w:rFonts w:ascii="仿宋_GB2312" w:hAnsi="仿宋_GB2312" w:eastAsia="仿宋_GB2312"/>
          <w:b/>
          <w:color w:val="000000"/>
          <w:sz w:val="32"/>
          <w:lang w:val="zh-CN"/>
        </w:rPr>
      </w:pPr>
      <w:r>
        <w:rPr>
          <w:rFonts w:hint="eastAsia" w:ascii="仿宋_GB2312" w:hAnsi="仿宋_GB2312" w:eastAsia="仿宋_GB2312"/>
          <w:b/>
          <w:color w:val="000000"/>
          <w:sz w:val="32"/>
          <w:lang w:val="zh-CN"/>
        </w:rPr>
        <w:t>（二）政府采购支出情况</w:t>
      </w:r>
    </w:p>
    <w:p>
      <w:pPr>
        <w:spacing w:line="576" w:lineRule="exact"/>
        <w:ind w:firstLine="640"/>
        <w:rPr>
          <w:rFonts w:ascii="仿宋_GB2312" w:hAnsi="仿宋_GB2312" w:eastAsia="仿宋_GB2312"/>
          <w:color w:val="000000"/>
          <w:sz w:val="32"/>
          <w:lang w:val="zh-CN"/>
        </w:rPr>
      </w:pPr>
      <w:r>
        <w:rPr>
          <w:rFonts w:hint="eastAsia" w:ascii="仿宋_GB2312" w:hAnsi="仿宋_GB2312" w:eastAsia="仿宋_GB2312"/>
          <w:color w:val="000000"/>
          <w:sz w:val="32"/>
          <w:lang w:val="zh-CN"/>
        </w:rPr>
        <w:t>2023年，广元市作家协会政府采购支出总额0万元。</w:t>
      </w:r>
    </w:p>
    <w:p>
      <w:pPr>
        <w:keepNext/>
        <w:keepLines/>
        <w:spacing w:line="576" w:lineRule="exact"/>
        <w:ind w:firstLine="643"/>
        <w:rPr>
          <w:rFonts w:ascii="仿宋_GB2312" w:hAnsi="仿宋_GB2312" w:eastAsia="仿宋_GB2312"/>
          <w:b/>
          <w:color w:val="000000"/>
          <w:sz w:val="32"/>
          <w:lang w:val="zh-CN"/>
        </w:rPr>
      </w:pPr>
      <w:r>
        <w:rPr>
          <w:rFonts w:hint="eastAsia" w:ascii="仿宋_GB2312" w:hAnsi="仿宋_GB2312" w:eastAsia="仿宋_GB2312"/>
          <w:b/>
          <w:color w:val="000000"/>
          <w:sz w:val="32"/>
          <w:lang w:val="zh-CN"/>
        </w:rPr>
        <w:t>（三）国有资产占有使用情况</w:t>
      </w:r>
    </w:p>
    <w:p>
      <w:pPr>
        <w:spacing w:line="576" w:lineRule="exact"/>
        <w:ind w:firstLine="640"/>
        <w:rPr>
          <w:rFonts w:ascii="仿宋_GB2312" w:hAnsi="仿宋_GB2312" w:eastAsia="仿宋_GB2312"/>
          <w:color w:val="000000"/>
          <w:sz w:val="32"/>
          <w:lang w:val="zh-CN"/>
        </w:rPr>
      </w:pPr>
      <w:r>
        <w:rPr>
          <w:rFonts w:hint="eastAsia" w:ascii="仿宋_GB2312" w:hAnsi="仿宋_GB2312" w:eastAsia="仿宋_GB2312"/>
          <w:color w:val="000000"/>
          <w:sz w:val="32"/>
          <w:lang w:val="zh-CN"/>
        </w:rPr>
        <w:t>截至2023年12月31日，广元市作家协会共有车辆0辆。单价100万元（含）以上设备0台（套)。</w:t>
      </w:r>
    </w:p>
    <w:p>
      <w:pPr>
        <w:keepNext/>
        <w:keepLines/>
        <w:spacing w:line="576" w:lineRule="exact"/>
        <w:ind w:firstLine="643"/>
        <w:rPr>
          <w:rFonts w:ascii="仿宋_GB2312" w:hAnsi="仿宋_GB2312" w:eastAsia="仿宋_GB2312"/>
          <w:b/>
          <w:color w:val="000000"/>
          <w:sz w:val="32"/>
          <w:lang w:val="zh-CN"/>
        </w:rPr>
      </w:pPr>
      <w:r>
        <w:rPr>
          <w:rFonts w:hint="eastAsia" w:ascii="仿宋_GB2312" w:hAnsi="仿宋_GB2312" w:eastAsia="仿宋_GB2312"/>
          <w:b/>
          <w:color w:val="000000"/>
          <w:sz w:val="32"/>
          <w:lang w:val="zh-CN"/>
        </w:rPr>
        <w:t>（四）预算绩效管理情况。</w:t>
      </w:r>
    </w:p>
    <w:p>
      <w:pPr>
        <w:spacing w:line="576" w:lineRule="exact"/>
        <w:ind w:firstLine="643"/>
        <w:rPr>
          <w:rFonts w:ascii="仿宋_GB2312" w:hAnsi="仿宋_GB2312" w:eastAsia="仿宋_GB2312"/>
          <w:sz w:val="32"/>
        </w:rPr>
      </w:pPr>
      <w:r>
        <w:rPr>
          <w:rFonts w:hint="eastAsia" w:ascii="仿宋_GB2312" w:hAnsi="仿宋_GB2312" w:eastAsia="仿宋_GB2312"/>
          <w:sz w:val="32"/>
        </w:rPr>
        <w:t>根据预算绩效管理要求，本单位在202</w:t>
      </w:r>
      <w:r>
        <w:rPr>
          <w:rFonts w:hint="eastAsia" w:ascii="宋体" w:hAnsi="宋体"/>
          <w:sz w:val="32"/>
        </w:rPr>
        <w:t>3</w:t>
      </w:r>
      <w:r>
        <w:rPr>
          <w:rFonts w:hint="eastAsia" w:ascii="仿宋_GB2312" w:hAnsi="仿宋_GB2312" w:eastAsia="仿宋_GB2312"/>
          <w:sz w:val="32"/>
        </w:rPr>
        <w:t>年度预算编制阶段，对5个项目编制了绩效目标，预算执行过程中，选取13个项目开展绩效监控，组织对13个项目开展绩效自评，绩效自评表详见第四部分附件。</w:t>
      </w:r>
    </w:p>
    <w:p>
      <w:pPr>
        <w:widowControl/>
        <w:jc w:val="left"/>
        <w:rPr>
          <w:rFonts w:ascii="仿宋_GB2312" w:eastAsia="仿宋_GB2312"/>
          <w:b/>
          <w:sz w:val="32"/>
          <w:szCs w:val="32"/>
        </w:rPr>
      </w:pPr>
      <w:r>
        <w:rPr>
          <w:rFonts w:ascii="仿宋_GB2312" w:eastAsia="仿宋_GB2312"/>
          <w:b/>
          <w:sz w:val="32"/>
          <w:szCs w:val="32"/>
        </w:rPr>
        <w:br w:type="page"/>
      </w:r>
    </w:p>
    <w:p>
      <w:pPr>
        <w:numPr>
          <w:ilvl w:val="0"/>
          <w:numId w:val="2"/>
        </w:numPr>
        <w:spacing w:line="600" w:lineRule="exact"/>
        <w:ind w:firstLine="660" w:firstLineChars="150"/>
        <w:jc w:val="center"/>
        <w:outlineLvl w:val="0"/>
        <w:rPr>
          <w:rStyle w:val="18"/>
          <w:rFonts w:ascii="黑体" w:hAnsi="黑体" w:eastAsia="黑体"/>
          <w:b w:val="0"/>
        </w:rPr>
      </w:pPr>
      <w:bookmarkStart w:id="53" w:name="_Toc30922"/>
      <w:bookmarkStart w:id="54" w:name="_Toc15396613"/>
      <w:bookmarkStart w:id="55" w:name="_Toc15377225"/>
      <w:r>
        <w:rPr>
          <w:rFonts w:hint="eastAsia" w:ascii="黑体" w:hAnsi="黑体" w:eastAsia="黑体"/>
          <w:sz w:val="44"/>
          <w:szCs w:val="44"/>
        </w:rPr>
        <w:t>名</w:t>
      </w:r>
      <w:r>
        <w:rPr>
          <w:rStyle w:val="18"/>
          <w:rFonts w:hint="eastAsia" w:ascii="黑体" w:hAnsi="黑体" w:eastAsia="黑体"/>
          <w:b w:val="0"/>
        </w:rPr>
        <w:t>词解释</w:t>
      </w:r>
      <w:bookmarkEnd w:id="53"/>
      <w:bookmarkEnd w:id="54"/>
      <w:bookmarkEnd w:id="55"/>
    </w:p>
    <w:p>
      <w:pPr>
        <w:spacing w:line="600" w:lineRule="exact"/>
        <w:jc w:val="left"/>
        <w:rPr>
          <w:rFonts w:ascii="宋体"/>
          <w:b/>
          <w:sz w:val="44"/>
          <w:szCs w:val="44"/>
        </w:rPr>
      </w:pPr>
    </w:p>
    <w:p>
      <w:pPr>
        <w:pStyle w:val="27"/>
        <w:numPr>
          <w:ilvl w:val="0"/>
          <w:numId w:val="3"/>
        </w:numPr>
        <w:spacing w:line="560" w:lineRule="exact"/>
        <w:ind w:left="0" w:leftChars="0" w:firstLine="400" w:firstLineChars="0"/>
        <w:rPr>
          <w:rFonts w:ascii="仿宋_GB2312" w:eastAsia="仿宋_GB2312"/>
          <w:color w:val="auto"/>
          <w:sz w:val="32"/>
          <w:szCs w:val="32"/>
        </w:rPr>
      </w:pPr>
      <w:r>
        <w:rPr>
          <w:rFonts w:hint="eastAsia" w:ascii="仿宋_GB2312" w:eastAsia="仿宋_GB2312"/>
          <w:color w:val="auto"/>
          <w:sz w:val="32"/>
          <w:szCs w:val="32"/>
        </w:rPr>
        <w:t>财政拨款收入：指单位从同级财政部门取得的财政预算资金。</w:t>
      </w:r>
    </w:p>
    <w:p>
      <w:pPr>
        <w:numPr>
          <w:ilvl w:val="0"/>
          <w:numId w:val="3"/>
        </w:numPr>
        <w:ind w:left="0" w:leftChars="0" w:firstLine="400" w:firstLineChars="0"/>
        <w:rPr>
          <w:rFonts w:ascii="仿宋_GB2312" w:hAnsi="Calibri" w:eastAsia="仿宋_GB2312" w:cs="仿宋"/>
          <w:kern w:val="0"/>
          <w:sz w:val="32"/>
          <w:szCs w:val="32"/>
        </w:rPr>
      </w:pPr>
      <w:r>
        <w:rPr>
          <w:rFonts w:hint="eastAsia" w:ascii="仿宋_GB2312" w:hAnsi="Calibri" w:eastAsia="仿宋_GB2312" w:cs="仿宋"/>
          <w:kern w:val="0"/>
          <w:sz w:val="32"/>
          <w:szCs w:val="32"/>
        </w:rPr>
        <w:t>一般公共服务（类）群众团体事务（款）行政运行（项）：反映行政单位（包括实行公务员管理的事业单位）的基本支出。</w:t>
      </w:r>
    </w:p>
    <w:p>
      <w:pPr>
        <w:numPr>
          <w:ilvl w:val="0"/>
          <w:numId w:val="3"/>
        </w:numPr>
        <w:ind w:left="0" w:leftChars="0" w:firstLine="400" w:firstLineChars="0"/>
        <w:rPr>
          <w:rFonts w:eastAsia="仿宋_GB2312"/>
        </w:rPr>
      </w:pPr>
      <w:r>
        <w:rPr>
          <w:rFonts w:hint="eastAsia" w:ascii="仿宋_GB2312" w:hAnsi="Calibri" w:eastAsia="仿宋_GB2312" w:cs="仿宋"/>
          <w:kern w:val="0"/>
          <w:sz w:val="32"/>
          <w:szCs w:val="32"/>
        </w:rPr>
        <w:t>一般公共服务（类）群众团体事务（款）一般行政管理事务（项）：</w:t>
      </w:r>
      <w:r>
        <w:rPr>
          <w:rFonts w:hint="eastAsia" w:ascii="仿宋_GB2312" w:eastAsia="仿宋_GB2312"/>
          <w:sz w:val="32"/>
          <w:szCs w:val="32"/>
        </w:rPr>
        <w:t>反映行政单位（包括实行公务员管理的事业单位）未单独设置项级科目的其他项目支出。</w:t>
      </w:r>
    </w:p>
    <w:p>
      <w:pPr>
        <w:numPr>
          <w:ilvl w:val="0"/>
          <w:numId w:val="3"/>
        </w:numPr>
        <w:ind w:left="0" w:leftChars="0" w:firstLine="400" w:firstLineChars="0"/>
        <w:rPr>
          <w:rFonts w:ascii="仿宋_GB2312" w:hAnsi="Calibri" w:eastAsia="仿宋_GB2312" w:cs="仿宋"/>
          <w:kern w:val="0"/>
          <w:sz w:val="32"/>
          <w:szCs w:val="32"/>
        </w:rPr>
      </w:pPr>
      <w:r>
        <w:rPr>
          <w:rFonts w:hint="eastAsia" w:ascii="仿宋_GB2312" w:hAnsi="Calibri" w:eastAsia="仿宋_GB2312" w:cs="仿宋"/>
          <w:kern w:val="0"/>
          <w:sz w:val="32"/>
          <w:szCs w:val="32"/>
        </w:rPr>
        <w:t>文化旅游体育与传媒支出（类）文化和旅游（款）文化活动（项）：反映举办大型文化艺术活动的支出。</w:t>
      </w:r>
    </w:p>
    <w:p>
      <w:pPr>
        <w:numPr>
          <w:ilvl w:val="0"/>
          <w:numId w:val="3"/>
        </w:numPr>
        <w:ind w:left="0" w:leftChars="0" w:firstLine="400" w:firstLineChars="0"/>
        <w:rPr>
          <w:rFonts w:ascii="仿宋_GB2312" w:hAnsi="Calibri" w:eastAsia="仿宋_GB2312" w:cs="仿宋"/>
          <w:kern w:val="0"/>
          <w:sz w:val="32"/>
          <w:szCs w:val="32"/>
        </w:rPr>
      </w:pPr>
      <w:r>
        <w:rPr>
          <w:rFonts w:hint="eastAsia" w:ascii="仿宋_GB2312" w:hAnsi="Calibri" w:eastAsia="仿宋_GB2312" w:cs="仿宋"/>
          <w:kern w:val="0"/>
          <w:sz w:val="32"/>
          <w:szCs w:val="32"/>
        </w:rPr>
        <w:t>文化旅游体育与传媒支出（类）文化和旅游（款）文化创作与保护（项）：指鼓励文学、艺术创作和优秀传统文化保护方面的支出。</w:t>
      </w:r>
    </w:p>
    <w:p>
      <w:pPr>
        <w:numPr>
          <w:ilvl w:val="0"/>
          <w:numId w:val="3"/>
        </w:numPr>
        <w:ind w:left="0" w:leftChars="0" w:firstLine="400" w:firstLineChars="0"/>
        <w:rPr>
          <w:rFonts w:ascii="仿宋_GB2312" w:hAnsi="Calibri" w:eastAsia="仿宋_GB2312" w:cs="仿宋"/>
          <w:kern w:val="0"/>
          <w:sz w:val="32"/>
          <w:szCs w:val="32"/>
        </w:rPr>
      </w:pPr>
      <w:r>
        <w:rPr>
          <w:rFonts w:hint="eastAsia" w:ascii="仿宋_GB2312" w:hAnsi="Calibri" w:eastAsia="仿宋_GB2312" w:cs="仿宋"/>
          <w:kern w:val="0"/>
          <w:sz w:val="32"/>
          <w:szCs w:val="32"/>
        </w:rPr>
        <w:t>文化旅游体育与传媒支出（类）文化和旅游（款）</w:t>
      </w:r>
      <w:r>
        <w:rPr>
          <w:rFonts w:hint="eastAsia" w:ascii="仿宋_GB2312" w:hAnsi="仿宋_GB2312" w:eastAsia="仿宋_GB2312" w:cs="仿宋_GB2312"/>
          <w:bCs/>
          <w:sz w:val="32"/>
          <w:szCs w:val="32"/>
        </w:rPr>
        <w:t>旅游宣传</w:t>
      </w:r>
      <w:r>
        <w:rPr>
          <w:rFonts w:hint="eastAsia" w:ascii="仿宋_GB2312" w:hAnsi="Calibri" w:eastAsia="仿宋_GB2312" w:cs="仿宋"/>
          <w:kern w:val="0"/>
          <w:sz w:val="32"/>
          <w:szCs w:val="32"/>
        </w:rPr>
        <w:t>（项）：反映在境内外开展各类旅游宣传促销活动的支出，包括驻外旅游机构宣传费、境外宣传</w:t>
      </w:r>
      <w:r>
        <w:rPr>
          <w:rFonts w:hint="eastAsia" w:ascii="仿宋_GB2312" w:hAnsi="Calibri" w:eastAsia="仿宋_GB2312" w:cs="仿宋"/>
          <w:kern w:val="0"/>
          <w:sz w:val="32"/>
          <w:szCs w:val="32"/>
          <w:lang w:eastAsia="zh-CN"/>
        </w:rPr>
        <w:t>促消费</w:t>
      </w:r>
      <w:r>
        <w:rPr>
          <w:rFonts w:hint="eastAsia" w:ascii="仿宋_GB2312" w:hAnsi="Calibri" w:eastAsia="仿宋_GB2312" w:cs="仿宋"/>
          <w:kern w:val="0"/>
          <w:sz w:val="32"/>
          <w:szCs w:val="32"/>
        </w:rPr>
        <w:t>、境内宣传</w:t>
      </w:r>
      <w:r>
        <w:rPr>
          <w:rFonts w:hint="eastAsia" w:ascii="仿宋_GB2312" w:hAnsi="Calibri" w:eastAsia="仿宋_GB2312" w:cs="仿宋"/>
          <w:kern w:val="0"/>
          <w:sz w:val="32"/>
          <w:szCs w:val="32"/>
          <w:lang w:eastAsia="zh-CN"/>
        </w:rPr>
        <w:t>促消费</w:t>
      </w:r>
      <w:r>
        <w:rPr>
          <w:rFonts w:hint="eastAsia" w:ascii="仿宋_GB2312" w:hAnsi="Calibri" w:eastAsia="仿宋_GB2312" w:cs="仿宋"/>
          <w:kern w:val="0"/>
          <w:sz w:val="32"/>
          <w:szCs w:val="32"/>
        </w:rPr>
        <w:t>、海外记者及旅行商接待费、旅游宣传品制作费及设备购置费等。</w:t>
      </w:r>
    </w:p>
    <w:p>
      <w:pPr>
        <w:numPr>
          <w:ilvl w:val="0"/>
          <w:numId w:val="3"/>
        </w:numPr>
        <w:spacing w:line="576" w:lineRule="exact"/>
        <w:ind w:left="0" w:leftChars="0" w:firstLine="400" w:firstLineChars="0"/>
        <w:rPr>
          <w:rFonts w:hint="eastAsia" w:ascii="仿宋_GB2312" w:hAnsi="Calibri" w:eastAsia="仿宋_GB2312" w:cs="仿宋_GB2312"/>
          <w:kern w:val="0"/>
          <w:sz w:val="32"/>
          <w:szCs w:val="32"/>
        </w:rPr>
      </w:pPr>
      <w:r>
        <w:rPr>
          <w:rFonts w:hint="eastAsia" w:ascii="仿宋_GB2312" w:hAnsi="Calibri" w:eastAsia="仿宋_GB2312" w:cs="仿宋"/>
          <w:kern w:val="0"/>
          <w:sz w:val="32"/>
          <w:szCs w:val="32"/>
        </w:rPr>
        <w:t>社会保障和就业（类）社会保障和就业支出（款）机关事业单位基本养老保险缴费支出（项）：指机关事业单位实施养老保险制度由单</w:t>
      </w:r>
      <w:r>
        <w:rPr>
          <w:rFonts w:hint="eastAsia" w:ascii="仿宋_GB2312" w:hAnsi="Calibri" w:eastAsia="仿宋_GB2312" w:cs="仿宋_GB2312"/>
          <w:kern w:val="0"/>
          <w:sz w:val="32"/>
          <w:szCs w:val="32"/>
        </w:rPr>
        <w:t>位缴纳的基本养老保险费支出。</w:t>
      </w:r>
    </w:p>
    <w:p>
      <w:pPr>
        <w:numPr>
          <w:ilvl w:val="0"/>
          <w:numId w:val="3"/>
        </w:numPr>
        <w:spacing w:line="576" w:lineRule="exact"/>
        <w:ind w:left="0" w:leftChars="0" w:firstLine="400" w:firstLineChars="0"/>
        <w:rPr>
          <w:rFonts w:ascii="仿宋_GB2312" w:hAnsi="Calibri" w:eastAsia="仿宋_GB2312"/>
          <w:kern w:val="0"/>
          <w:sz w:val="32"/>
          <w:szCs w:val="32"/>
        </w:rPr>
      </w:pPr>
      <w:r>
        <w:rPr>
          <w:rFonts w:hint="eastAsia" w:ascii="仿宋_GB2312" w:hAnsi="Calibri" w:eastAsia="仿宋_GB2312" w:cs="仿宋_GB2312"/>
          <w:kern w:val="0"/>
          <w:sz w:val="32"/>
          <w:szCs w:val="32"/>
        </w:rPr>
        <w:t>社会保障和就业支出（类）其他社会保障和就业支出（款）其他社会保障和就业支出（项）：反映用于社会保险、社会救助、社会福利和社会优抚等方面的支出。</w:t>
      </w:r>
    </w:p>
    <w:p>
      <w:pPr>
        <w:numPr>
          <w:ilvl w:val="0"/>
          <w:numId w:val="3"/>
        </w:numPr>
        <w:spacing w:line="576" w:lineRule="exact"/>
        <w:ind w:left="0" w:leftChars="0" w:firstLine="400" w:firstLineChars="0"/>
        <w:rPr>
          <w:rFonts w:ascii="仿宋_GB2312" w:hAnsi="Calibri" w:eastAsia="仿宋_GB2312"/>
          <w:kern w:val="0"/>
          <w:sz w:val="32"/>
          <w:szCs w:val="32"/>
        </w:rPr>
      </w:pPr>
      <w:r>
        <w:rPr>
          <w:rFonts w:hint="eastAsia" w:ascii="仿宋_GB2312" w:hAnsi="Calibri" w:eastAsia="仿宋_GB2312" w:cs="仿宋_GB2312"/>
          <w:kern w:val="0"/>
          <w:sz w:val="32"/>
          <w:szCs w:val="32"/>
        </w:rPr>
        <w:t>卫生健康支出（类）行政事业单位医疗（款）行政单位医疗（项）：反映财政部门集中安排的行政单位基本医疗保险缴费经费。</w:t>
      </w:r>
    </w:p>
    <w:p>
      <w:pPr>
        <w:numPr>
          <w:ilvl w:val="0"/>
          <w:numId w:val="3"/>
        </w:numPr>
        <w:spacing w:line="576" w:lineRule="exact"/>
        <w:ind w:left="0" w:leftChars="0" w:firstLine="400" w:firstLineChars="0"/>
        <w:rPr>
          <w:rFonts w:ascii="仿宋_GB2312" w:hAnsi="Calibri" w:eastAsia="仿宋_GB2312"/>
          <w:kern w:val="0"/>
          <w:sz w:val="32"/>
          <w:szCs w:val="32"/>
        </w:rPr>
      </w:pPr>
      <w:r>
        <w:rPr>
          <w:rFonts w:hint="eastAsia" w:ascii="仿宋_GB2312" w:hAnsi="Calibri" w:eastAsia="仿宋_GB2312" w:cs="仿宋_GB2312"/>
          <w:kern w:val="0"/>
          <w:sz w:val="32"/>
          <w:szCs w:val="32"/>
        </w:rPr>
        <w:t>住房保障支出（类）住房改革支出（款）住房公积金（项）</w:t>
      </w:r>
      <w:r>
        <w:rPr>
          <w:rFonts w:hint="eastAsia" w:ascii="仿宋_GB2312" w:hAnsi="Calibri" w:eastAsia="仿宋_GB2312" w:cs="仿宋_GB2312"/>
          <w:kern w:val="0"/>
          <w:sz w:val="32"/>
          <w:szCs w:val="32"/>
          <w:lang w:eastAsia="zh-CN"/>
        </w:rPr>
        <w:t>：</w:t>
      </w:r>
      <w:r>
        <w:rPr>
          <w:rFonts w:hint="eastAsia" w:ascii="仿宋_GB2312" w:hAnsi="Calibri" w:eastAsia="仿宋_GB2312" w:cs="仿宋_GB2312"/>
          <w:kern w:val="0"/>
          <w:sz w:val="32"/>
          <w:szCs w:val="32"/>
        </w:rPr>
        <w:t>指行政事业单位按人力资源和社会保障部、财政部规定的基本工资和津贴补贴以及规定比例为职工缴纳的住房公积金。</w:t>
      </w:r>
    </w:p>
    <w:p>
      <w:pPr>
        <w:numPr>
          <w:ilvl w:val="0"/>
          <w:numId w:val="3"/>
        </w:numPr>
        <w:ind w:left="0" w:leftChars="0" w:firstLine="400" w:firstLineChars="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numPr>
          <w:ilvl w:val="0"/>
          <w:numId w:val="3"/>
        </w:numPr>
        <w:ind w:left="0" w:leftChars="0" w:firstLine="400" w:firstLineChars="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pStyle w:val="27"/>
        <w:numPr>
          <w:ilvl w:val="0"/>
          <w:numId w:val="3"/>
        </w:numPr>
        <w:spacing w:line="560" w:lineRule="exact"/>
        <w:ind w:left="0" w:leftChars="0" w:firstLine="400" w:firstLineChars="0"/>
        <w:rPr>
          <w:rFonts w:ascii="仿宋_GB2312" w:eastAsia="仿宋_GB2312"/>
          <w:color w:val="auto"/>
          <w:sz w:val="32"/>
          <w:szCs w:val="32"/>
        </w:rPr>
      </w:pPr>
      <w:r>
        <w:rPr>
          <w:rFonts w:hint="eastAsia" w:ascii="仿宋_GB2312" w:eastAsia="仿宋_GB2312"/>
          <w:color w:val="auto"/>
          <w:sz w:val="32"/>
          <w:szCs w:val="32"/>
        </w:rPr>
        <w:t>“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7"/>
        <w:numPr>
          <w:ilvl w:val="0"/>
          <w:numId w:val="3"/>
        </w:numPr>
        <w:spacing w:line="560" w:lineRule="exact"/>
        <w:ind w:left="0" w:leftChars="0" w:firstLine="400" w:firstLineChars="0"/>
        <w:rPr>
          <w:rFonts w:ascii="黑体" w:hAnsi="黑体" w:eastAsia="黑体"/>
          <w:color w:val="auto"/>
          <w:sz w:val="44"/>
          <w:szCs w:val="44"/>
        </w:rPr>
      </w:pPr>
      <w:r>
        <w:rPr>
          <w:rFonts w:hint="eastAsia" w:ascii="仿宋_GB2312" w:eastAsia="仿宋_GB2312"/>
          <w:color w:val="auto"/>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bookmarkStart w:id="56" w:name="_Toc15396614"/>
      <w:bookmarkStart w:id="57" w:name="_Toc15377226"/>
    </w:p>
    <w:bookmarkEnd w:id="56"/>
    <w:p>
      <w:pPr>
        <w:spacing w:line="600" w:lineRule="exact"/>
        <w:rPr>
          <w:rStyle w:val="18"/>
          <w:rFonts w:ascii="黑体" w:hAnsi="黑体" w:eastAsia="黑体"/>
          <w:b w:val="0"/>
        </w:rPr>
      </w:pPr>
    </w:p>
    <w:p>
      <w:pPr>
        <w:spacing w:line="572" w:lineRule="exact"/>
        <w:jc w:val="left"/>
        <w:rPr>
          <w:rFonts w:ascii="仿宋_GB2312" w:hAnsi="仿宋_GB2312" w:eastAsia="仿宋_GB2312" w:cs="仿宋_GB2312"/>
          <w:sz w:val="32"/>
          <w:szCs w:val="32"/>
        </w:rPr>
      </w:pPr>
    </w:p>
    <w:p>
      <w:pPr>
        <w:spacing w:line="600" w:lineRule="exact"/>
        <w:jc w:val="center"/>
        <w:rPr>
          <w:rFonts w:ascii="宋体" w:hAnsi="宋体" w:cs="宋体"/>
          <w:kern w:val="0"/>
          <w:sz w:val="32"/>
          <w:szCs w:val="32"/>
        </w:rPr>
        <w:sectPr>
          <w:footerReference r:id="rId5" w:type="first"/>
          <w:footerReference r:id="rId4" w:type="default"/>
          <w:pgSz w:w="11906" w:h="16838"/>
          <w:pgMar w:top="1440" w:right="1800" w:bottom="1440" w:left="1800" w:header="851" w:footer="992" w:gutter="0"/>
          <w:pgNumType w:start="1"/>
          <w:cols w:space="425" w:num="1"/>
          <w:titlePg/>
          <w:docGrid w:type="lines" w:linePitch="312" w:charSpace="0"/>
        </w:sectPr>
      </w:pPr>
      <w:bookmarkStart w:id="58" w:name="_Toc15396618"/>
    </w:p>
    <w:p>
      <w:pPr>
        <w:spacing w:line="600" w:lineRule="exact"/>
        <w:jc w:val="center"/>
        <w:outlineLvl w:val="0"/>
        <w:rPr>
          <w:rStyle w:val="18"/>
          <w:rFonts w:ascii="黑体" w:hAnsi="黑体" w:eastAsia="黑体"/>
          <w:b w:val="0"/>
        </w:rPr>
      </w:pPr>
      <w:bookmarkStart w:id="59" w:name="_Toc2018"/>
      <w:r>
        <w:rPr>
          <w:rFonts w:hint="eastAsia" w:ascii="黑体" w:hAnsi="黑体" w:eastAsia="黑体"/>
          <w:sz w:val="44"/>
          <w:szCs w:val="44"/>
        </w:rPr>
        <w:t>第</w:t>
      </w:r>
      <w:r>
        <w:rPr>
          <w:rStyle w:val="18"/>
          <w:rFonts w:hint="eastAsia" w:ascii="黑体" w:hAnsi="黑体" w:eastAsia="黑体"/>
          <w:b w:val="0"/>
        </w:rPr>
        <w:t>四部分 附件</w:t>
      </w:r>
      <w:bookmarkEnd w:id="59"/>
    </w:p>
    <w:p>
      <w:pPr>
        <w:spacing w:line="600" w:lineRule="exact"/>
        <w:outlineLvl w:val="0"/>
        <w:rPr>
          <w:rFonts w:ascii="黑体" w:hAnsi="黑体" w:eastAsia="黑体"/>
          <w:bCs/>
          <w:kern w:val="44"/>
          <w:sz w:val="44"/>
          <w:szCs w:val="44"/>
        </w:rPr>
      </w:pPr>
      <w:r>
        <w:rPr>
          <w:rFonts w:hint="eastAsia"/>
        </w:rPr>
        <w:t>附件1</w:t>
      </w:r>
    </w:p>
    <w:tbl>
      <w:tblPr>
        <w:tblStyle w:val="13"/>
        <w:tblW w:w="8931" w:type="dxa"/>
        <w:tblInd w:w="-176" w:type="dxa"/>
        <w:tblLayout w:type="fixed"/>
        <w:tblCellMar>
          <w:top w:w="0" w:type="dxa"/>
          <w:left w:w="108" w:type="dxa"/>
          <w:bottom w:w="0" w:type="dxa"/>
          <w:right w:w="108" w:type="dxa"/>
        </w:tblCellMar>
      </w:tblPr>
      <w:tblGrid>
        <w:gridCol w:w="1123"/>
        <w:gridCol w:w="1146"/>
        <w:gridCol w:w="709"/>
        <w:gridCol w:w="1035"/>
        <w:gridCol w:w="574"/>
        <w:gridCol w:w="598"/>
        <w:gridCol w:w="574"/>
        <w:gridCol w:w="1016"/>
        <w:gridCol w:w="503"/>
        <w:gridCol w:w="430"/>
        <w:gridCol w:w="1223"/>
      </w:tblGrid>
      <w:tr>
        <w:tblPrEx>
          <w:tblCellMar>
            <w:top w:w="0" w:type="dxa"/>
            <w:left w:w="108" w:type="dxa"/>
            <w:bottom w:w="0" w:type="dxa"/>
            <w:right w:w="108" w:type="dxa"/>
          </w:tblCellMar>
        </w:tblPrEx>
        <w:trPr>
          <w:trHeight w:val="904" w:hRule="atLeast"/>
        </w:trPr>
        <w:tc>
          <w:tcPr>
            <w:tcW w:w="8931"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22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6662"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51000021R000000019951-工资性支出</w:t>
            </w:r>
          </w:p>
        </w:tc>
      </w:tr>
      <w:tr>
        <w:tblPrEx>
          <w:tblCellMar>
            <w:top w:w="0" w:type="dxa"/>
            <w:left w:w="108" w:type="dxa"/>
            <w:bottom w:w="0" w:type="dxa"/>
            <w:right w:w="108" w:type="dxa"/>
          </w:tblCellMar>
        </w:tblPrEx>
        <w:trPr>
          <w:trHeight w:val="514" w:hRule="atLeast"/>
        </w:trPr>
        <w:tc>
          <w:tcPr>
            <w:tcW w:w="22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349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中国共产党广元市委员会宣传部部门</w:t>
            </w:r>
          </w:p>
        </w:tc>
        <w:tc>
          <w:tcPr>
            <w:tcW w:w="1016" w:type="dxa"/>
            <w:tcBorders>
              <w:top w:val="nil"/>
              <w:left w:val="nil"/>
              <w:bottom w:val="nil"/>
              <w:right w:val="nil"/>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实施单位 （盖章）</w:t>
            </w:r>
          </w:p>
        </w:tc>
        <w:tc>
          <w:tcPr>
            <w:tcW w:w="21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广元市作家协会</w:t>
            </w:r>
          </w:p>
        </w:tc>
      </w:tr>
      <w:tr>
        <w:tblPrEx>
          <w:tblCellMar>
            <w:top w:w="0" w:type="dxa"/>
            <w:left w:w="108" w:type="dxa"/>
            <w:bottom w:w="0" w:type="dxa"/>
            <w:right w:w="108" w:type="dxa"/>
          </w:tblCellMar>
        </w:tblPrEx>
        <w:trPr>
          <w:trHeight w:val="285" w:hRule="atLeast"/>
        </w:trPr>
        <w:tc>
          <w:tcPr>
            <w:tcW w:w="1123"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1146"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349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3172"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r>
      <w:tr>
        <w:tblPrEx>
          <w:tblCellMar>
            <w:top w:w="0" w:type="dxa"/>
            <w:left w:w="108" w:type="dxa"/>
            <w:bottom w:w="0" w:type="dxa"/>
            <w:right w:w="108" w:type="dxa"/>
          </w:tblCellMar>
        </w:tblPrEx>
        <w:trPr>
          <w:trHeight w:val="709" w:hRule="atLeast"/>
        </w:trPr>
        <w:tc>
          <w:tcPr>
            <w:tcW w:w="1123"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14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349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严格执行相关政策，保障工资及时、足额发放或社保及时、足额缴纳，预算编制科学合理，减少结余资金</w:t>
            </w:r>
          </w:p>
        </w:tc>
        <w:tc>
          <w:tcPr>
            <w:tcW w:w="3172"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ascii="黑体" w:hAnsi="黑体" w:eastAsia="黑体" w:cs="黑体"/>
                <w:color w:val="000000"/>
                <w:kern w:val="0"/>
                <w:sz w:val="18"/>
                <w:szCs w:val="18"/>
              </w:rPr>
              <w:t>整个年度严格执行相关政策，保障工资及时发放、足额发放，预算编制科学合理。</w:t>
            </w:r>
          </w:p>
        </w:tc>
      </w:tr>
      <w:tr>
        <w:tblPrEx>
          <w:tblCellMar>
            <w:top w:w="0" w:type="dxa"/>
            <w:left w:w="108" w:type="dxa"/>
            <w:bottom w:w="0" w:type="dxa"/>
            <w:right w:w="108" w:type="dxa"/>
          </w:tblCellMar>
        </w:tblPrEx>
        <w:trPr>
          <w:trHeight w:val="694" w:hRule="atLeast"/>
        </w:trPr>
        <w:tc>
          <w:tcPr>
            <w:tcW w:w="1123"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146"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6662"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r>
              <w:rPr>
                <w:rFonts w:ascii="宋体" w:hAnsi="宋体" w:cs="宋体"/>
                <w:color w:val="000000"/>
                <w:kern w:val="0"/>
                <w:sz w:val="18"/>
                <w:szCs w:val="18"/>
              </w:rPr>
              <w:t>严格按照财政资金使用有关规定，按照既定目标推进工作，确保及时足额发放工资。</w:t>
            </w:r>
          </w:p>
        </w:tc>
      </w:tr>
      <w:tr>
        <w:tblPrEx>
          <w:tblCellMar>
            <w:top w:w="0" w:type="dxa"/>
            <w:left w:w="108" w:type="dxa"/>
            <w:bottom w:w="0" w:type="dxa"/>
            <w:right w:w="108" w:type="dxa"/>
          </w:tblCellMar>
        </w:tblPrEx>
        <w:trPr>
          <w:trHeight w:val="360" w:hRule="atLeast"/>
        </w:trPr>
        <w:tc>
          <w:tcPr>
            <w:tcW w:w="1123"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114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1035"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1746"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01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50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43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22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1123"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14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90.41</w:t>
            </w:r>
          </w:p>
        </w:tc>
        <w:tc>
          <w:tcPr>
            <w:tcW w:w="1035"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87.50</w:t>
            </w:r>
          </w:p>
        </w:tc>
        <w:tc>
          <w:tcPr>
            <w:tcW w:w="1746"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87.50</w:t>
            </w:r>
          </w:p>
        </w:tc>
        <w:tc>
          <w:tcPr>
            <w:tcW w:w="101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0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43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223"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cs="Courier New"/>
                <w:i/>
                <w:iCs/>
                <w:color w:val="000000"/>
                <w:kern w:val="0"/>
                <w:sz w:val="18"/>
                <w:szCs w:val="18"/>
              </w:rPr>
            </w:pPr>
            <w:r>
              <w:rPr>
                <w:rFonts w:hint="eastAsia" w:ascii="Courier New" w:hAnsi="Courier New" w:cs="Courier New"/>
                <w:i w:val="0"/>
                <w:iCs w:val="0"/>
                <w:color w:val="000000"/>
                <w:kern w:val="0"/>
                <w:sz w:val="18"/>
                <w:szCs w:val="18"/>
              </w:rPr>
              <w:t>因人员调动，财政追减了指标。</w:t>
            </w:r>
          </w:p>
        </w:tc>
      </w:tr>
      <w:tr>
        <w:tblPrEx>
          <w:tblCellMar>
            <w:top w:w="0" w:type="dxa"/>
            <w:left w:w="108" w:type="dxa"/>
            <w:bottom w:w="0" w:type="dxa"/>
            <w:right w:w="108" w:type="dxa"/>
          </w:tblCellMar>
        </w:tblPrEx>
        <w:trPr>
          <w:trHeight w:val="390" w:hRule="atLeast"/>
        </w:trPr>
        <w:tc>
          <w:tcPr>
            <w:tcW w:w="1123"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14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90.41</w:t>
            </w:r>
          </w:p>
        </w:tc>
        <w:tc>
          <w:tcPr>
            <w:tcW w:w="1035"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87.50</w:t>
            </w:r>
          </w:p>
        </w:tc>
        <w:tc>
          <w:tcPr>
            <w:tcW w:w="1746"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87.50</w:t>
            </w:r>
          </w:p>
        </w:tc>
        <w:tc>
          <w:tcPr>
            <w:tcW w:w="101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50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3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223"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409" w:hRule="atLeast"/>
        </w:trPr>
        <w:tc>
          <w:tcPr>
            <w:tcW w:w="1123"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14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035"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46"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01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0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3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223"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1123"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14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035"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46"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01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0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3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223"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38" w:hRule="atLeast"/>
        </w:trPr>
        <w:tc>
          <w:tcPr>
            <w:tcW w:w="1123"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14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035"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746"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016"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0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3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223"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454" w:hRule="atLeast"/>
        </w:trPr>
        <w:tc>
          <w:tcPr>
            <w:tcW w:w="1123"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114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1035"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57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59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57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01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50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43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22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8" w:hRule="atLeast"/>
        </w:trPr>
        <w:tc>
          <w:tcPr>
            <w:tcW w:w="1123"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14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1035"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发放（缴纳）覆盖率</w:t>
            </w:r>
          </w:p>
        </w:tc>
        <w:tc>
          <w:tcPr>
            <w:tcW w:w="57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9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7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016"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0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43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223"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1123"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14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1035"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足额保障率（参保率）</w:t>
            </w:r>
          </w:p>
        </w:tc>
        <w:tc>
          <w:tcPr>
            <w:tcW w:w="57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9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7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016"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0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43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223"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285" w:hRule="atLeast"/>
        </w:trPr>
        <w:tc>
          <w:tcPr>
            <w:tcW w:w="677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50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43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c>
          <w:tcPr>
            <w:tcW w:w="1223"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604" w:hRule="atLeast"/>
        </w:trPr>
        <w:tc>
          <w:tcPr>
            <w:tcW w:w="1123"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7808"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hint="default" w:ascii="微软雅黑" w:hAnsi="微软雅黑" w:eastAsia="微软雅黑" w:cs="宋体"/>
                <w:i/>
                <w:iCs/>
                <w:color w:val="000000"/>
                <w:kern w:val="0"/>
                <w:sz w:val="16"/>
                <w:szCs w:val="16"/>
                <w:lang w:val="en-US" w:eastAsia="zh-CN"/>
              </w:rPr>
            </w:pPr>
            <w:r>
              <w:rPr>
                <w:rFonts w:hint="eastAsia" w:ascii="微软雅黑" w:hAnsi="微软雅黑" w:eastAsia="微软雅黑" w:cs="宋体"/>
                <w:i/>
                <w:iCs/>
                <w:color w:val="000000"/>
                <w:kern w:val="0"/>
                <w:sz w:val="16"/>
                <w:szCs w:val="16"/>
                <w:lang w:val="en-US" w:eastAsia="zh-CN"/>
              </w:rPr>
              <w:t>100分</w:t>
            </w:r>
          </w:p>
        </w:tc>
      </w:tr>
      <w:tr>
        <w:tblPrEx>
          <w:tblCellMar>
            <w:top w:w="0" w:type="dxa"/>
            <w:left w:w="108" w:type="dxa"/>
            <w:bottom w:w="0" w:type="dxa"/>
            <w:right w:w="108" w:type="dxa"/>
          </w:tblCellMar>
        </w:tblPrEx>
        <w:trPr>
          <w:trHeight w:val="453" w:hRule="atLeast"/>
        </w:trPr>
        <w:tc>
          <w:tcPr>
            <w:tcW w:w="1123"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7808"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bookmarkStart w:id="87" w:name="_GoBack"/>
            <w:bookmarkEnd w:id="87"/>
          </w:p>
        </w:tc>
      </w:tr>
      <w:tr>
        <w:tblPrEx>
          <w:tblCellMar>
            <w:top w:w="0" w:type="dxa"/>
            <w:left w:w="108" w:type="dxa"/>
            <w:bottom w:w="0" w:type="dxa"/>
            <w:right w:w="108" w:type="dxa"/>
          </w:tblCellMar>
        </w:tblPrEx>
        <w:trPr>
          <w:trHeight w:val="634" w:hRule="atLeast"/>
        </w:trPr>
        <w:tc>
          <w:tcPr>
            <w:tcW w:w="1123"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7808"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5" w:hRule="atLeast"/>
        </w:trPr>
        <w:tc>
          <w:tcPr>
            <w:tcW w:w="45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项目负责人：</w:t>
            </w:r>
          </w:p>
        </w:tc>
        <w:tc>
          <w:tcPr>
            <w:tcW w:w="4344"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财务负责人：</w:t>
            </w:r>
          </w:p>
        </w:tc>
      </w:tr>
    </w:tbl>
    <w:p>
      <w:pPr>
        <w:pStyle w:val="2"/>
        <w:spacing w:before="319"/>
        <w:ind w:left="0" w:firstLine="0"/>
        <w:rPr>
          <w:rFonts w:ascii="仿宋_GB2312" w:hAnsi="Calibri" w:eastAsia="仿宋_GB2312" w:cs="仿宋"/>
          <w:color w:val="auto"/>
          <w:kern w:val="0"/>
          <w:sz w:val="32"/>
          <w:szCs w:val="32"/>
        </w:rPr>
      </w:pPr>
      <w:r>
        <w:rPr>
          <w:rFonts w:hint="eastAsia" w:ascii="仿宋_GB2312" w:hAnsi="Calibri" w:eastAsia="仿宋_GB2312" w:cs="仿宋"/>
          <w:color w:val="auto"/>
          <w:kern w:val="0"/>
          <w:sz w:val="32"/>
          <w:szCs w:val="32"/>
        </w:rPr>
        <w:t>附件2</w:t>
      </w:r>
    </w:p>
    <w:tbl>
      <w:tblPr>
        <w:tblStyle w:val="13"/>
        <w:tblW w:w="5269" w:type="pct"/>
        <w:tblInd w:w="-459" w:type="dxa"/>
        <w:tblLayout w:type="fixed"/>
        <w:tblCellMar>
          <w:top w:w="0" w:type="dxa"/>
          <w:left w:w="108" w:type="dxa"/>
          <w:bottom w:w="0" w:type="dxa"/>
          <w:right w:w="108" w:type="dxa"/>
        </w:tblCellMar>
      </w:tblPr>
      <w:tblGrid>
        <w:gridCol w:w="703"/>
        <w:gridCol w:w="562"/>
        <w:gridCol w:w="856"/>
        <w:gridCol w:w="605"/>
        <w:gridCol w:w="957"/>
        <w:gridCol w:w="16"/>
        <w:gridCol w:w="695"/>
        <w:gridCol w:w="707"/>
        <w:gridCol w:w="142"/>
        <w:gridCol w:w="569"/>
        <w:gridCol w:w="424"/>
        <w:gridCol w:w="427"/>
        <w:gridCol w:w="567"/>
        <w:gridCol w:w="567"/>
        <w:gridCol w:w="1177"/>
      </w:tblGrid>
      <w:tr>
        <w:tblPrEx>
          <w:tblCellMar>
            <w:top w:w="0" w:type="dxa"/>
            <w:left w:w="108" w:type="dxa"/>
            <w:bottom w:w="0" w:type="dxa"/>
            <w:right w:w="108" w:type="dxa"/>
          </w:tblCellMar>
        </w:tblPrEx>
        <w:trPr>
          <w:trHeight w:val="904" w:hRule="atLeast"/>
        </w:trPr>
        <w:tc>
          <w:tcPr>
            <w:tcW w:w="5000" w:type="pct"/>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118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3818" w:type="pct"/>
            <w:gridSpan w:val="12"/>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51080022R000007489234-2022年考核奖</w:t>
            </w:r>
          </w:p>
        </w:tc>
      </w:tr>
      <w:tr>
        <w:tblPrEx>
          <w:tblCellMar>
            <w:top w:w="0" w:type="dxa"/>
            <w:left w:w="108" w:type="dxa"/>
            <w:bottom w:w="0" w:type="dxa"/>
            <w:right w:w="108" w:type="dxa"/>
          </w:tblCellMar>
        </w:tblPrEx>
        <w:trPr>
          <w:trHeight w:val="514" w:hRule="atLeast"/>
        </w:trPr>
        <w:tc>
          <w:tcPr>
            <w:tcW w:w="118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1739" w:type="pct"/>
            <w:gridSpan w:val="6"/>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中国共产党广元市委员会宣传部部门</w:t>
            </w:r>
          </w:p>
        </w:tc>
        <w:tc>
          <w:tcPr>
            <w:tcW w:w="553" w:type="pct"/>
            <w:gridSpan w:val="2"/>
            <w:tcBorders>
              <w:top w:val="nil"/>
              <w:left w:val="nil"/>
              <w:bottom w:val="nil"/>
              <w:right w:val="nil"/>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 xml:space="preserve">实施单位 </w:t>
            </w:r>
          </w:p>
        </w:tc>
        <w:tc>
          <w:tcPr>
            <w:tcW w:w="152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广元市作家协会</w:t>
            </w:r>
          </w:p>
        </w:tc>
      </w:tr>
      <w:tr>
        <w:tblPrEx>
          <w:tblCellMar>
            <w:top w:w="0" w:type="dxa"/>
            <w:left w:w="108" w:type="dxa"/>
            <w:bottom w:w="0" w:type="dxa"/>
            <w:right w:w="108" w:type="dxa"/>
          </w:tblCellMar>
        </w:tblPrEx>
        <w:trPr>
          <w:trHeight w:val="285" w:hRule="atLeast"/>
        </w:trPr>
        <w:tc>
          <w:tcPr>
            <w:tcW w:w="392" w:type="pct"/>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790" w:type="pct"/>
            <w:gridSpan w:val="2"/>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1739" w:type="pct"/>
            <w:gridSpan w:val="6"/>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2079" w:type="pct"/>
            <w:gridSpan w:val="6"/>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r>
      <w:tr>
        <w:tblPrEx>
          <w:tblCellMar>
            <w:top w:w="0" w:type="dxa"/>
            <w:left w:w="108" w:type="dxa"/>
            <w:bottom w:w="0" w:type="dxa"/>
            <w:right w:w="108" w:type="dxa"/>
          </w:tblCellMar>
        </w:tblPrEx>
        <w:trPr>
          <w:trHeight w:val="709" w:hRule="atLeast"/>
        </w:trPr>
        <w:tc>
          <w:tcPr>
            <w:tcW w:w="392" w:type="pct"/>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790" w:type="pct"/>
            <w:gridSpan w:val="2"/>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739" w:type="pct"/>
            <w:gridSpan w:val="6"/>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严格执行相关政策，保障工资及时、足额发放或社保及时、足额缴纳，预算编制科学合理，减少结余资金</w:t>
            </w:r>
          </w:p>
        </w:tc>
        <w:tc>
          <w:tcPr>
            <w:tcW w:w="2079" w:type="pct"/>
            <w:gridSpan w:val="6"/>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hint="eastAsia" w:ascii="宋体" w:hAnsi="宋体" w:cs="宋体"/>
                <w:color w:val="000000"/>
                <w:kern w:val="0"/>
                <w:sz w:val="18"/>
                <w:szCs w:val="18"/>
              </w:rPr>
              <w:t>严格执行相关政策，保障工资及时、足额发放，预算编制科学合理，无结余资金</w:t>
            </w:r>
          </w:p>
        </w:tc>
      </w:tr>
      <w:tr>
        <w:tblPrEx>
          <w:tblCellMar>
            <w:top w:w="0" w:type="dxa"/>
            <w:left w:w="108" w:type="dxa"/>
            <w:bottom w:w="0" w:type="dxa"/>
            <w:right w:w="108" w:type="dxa"/>
          </w:tblCellMar>
        </w:tblPrEx>
        <w:trPr>
          <w:trHeight w:val="694" w:hRule="atLeast"/>
        </w:trPr>
        <w:tc>
          <w:tcPr>
            <w:tcW w:w="392" w:type="pct"/>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790" w:type="pct"/>
            <w:gridSpan w:val="2"/>
            <w:tcBorders>
              <w:top w:val="nil"/>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3818" w:type="pct"/>
            <w:gridSpan w:val="12"/>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严格执行相关政策，保障工资及时、足额发放，预算编制科学合理，无结余资金</w:t>
            </w:r>
          </w:p>
        </w:tc>
      </w:tr>
      <w:tr>
        <w:tblPrEx>
          <w:tblCellMar>
            <w:top w:w="0" w:type="dxa"/>
            <w:left w:w="108" w:type="dxa"/>
            <w:bottom w:w="0" w:type="dxa"/>
            <w:right w:w="108" w:type="dxa"/>
          </w:tblCellMar>
        </w:tblPrEx>
        <w:trPr>
          <w:trHeight w:val="360" w:hRule="atLeast"/>
        </w:trPr>
        <w:tc>
          <w:tcPr>
            <w:tcW w:w="392" w:type="pct"/>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790"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337"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533"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1186" w:type="pct"/>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474"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316"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316"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656"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392" w:type="pct"/>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790"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337"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33"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2.13</w:t>
            </w:r>
          </w:p>
        </w:tc>
        <w:tc>
          <w:tcPr>
            <w:tcW w:w="1186" w:type="pct"/>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2.13</w:t>
            </w:r>
          </w:p>
        </w:tc>
        <w:tc>
          <w:tcPr>
            <w:tcW w:w="474"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316"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316"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　</w:t>
            </w:r>
          </w:p>
        </w:tc>
        <w:tc>
          <w:tcPr>
            <w:tcW w:w="656" w:type="pct"/>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cs="Courier New" w:asciiTheme="minorEastAsia" w:hAnsiTheme="minorEastAsia" w:eastAsiaTheme="minorEastAsia"/>
                <w:iCs/>
                <w:color w:val="000000"/>
                <w:kern w:val="0"/>
                <w:sz w:val="18"/>
                <w:szCs w:val="18"/>
              </w:rPr>
            </w:pPr>
            <w:r>
              <w:rPr>
                <w:rFonts w:hint="eastAsia" w:cs="Courier New" w:asciiTheme="minorEastAsia" w:hAnsiTheme="minorEastAsia" w:eastAsiaTheme="minorEastAsia"/>
                <w:iCs/>
                <w:color w:val="000000"/>
                <w:kern w:val="0"/>
                <w:sz w:val="18"/>
                <w:szCs w:val="18"/>
              </w:rPr>
              <w:t>2022年度考核完毕，财政追加考核奖。</w:t>
            </w:r>
          </w:p>
        </w:tc>
      </w:tr>
      <w:tr>
        <w:tblPrEx>
          <w:tblCellMar>
            <w:top w:w="0" w:type="dxa"/>
            <w:left w:w="108" w:type="dxa"/>
            <w:bottom w:w="0" w:type="dxa"/>
            <w:right w:w="108" w:type="dxa"/>
          </w:tblCellMar>
        </w:tblPrEx>
        <w:trPr>
          <w:trHeight w:val="390" w:hRule="atLeast"/>
        </w:trPr>
        <w:tc>
          <w:tcPr>
            <w:tcW w:w="392" w:type="pct"/>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790"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337"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33"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2.13</w:t>
            </w:r>
          </w:p>
        </w:tc>
        <w:tc>
          <w:tcPr>
            <w:tcW w:w="1186" w:type="pct"/>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2.13</w:t>
            </w:r>
          </w:p>
        </w:tc>
        <w:tc>
          <w:tcPr>
            <w:tcW w:w="474"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316"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16"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56" w:type="pct"/>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409" w:hRule="atLeast"/>
        </w:trPr>
        <w:tc>
          <w:tcPr>
            <w:tcW w:w="392" w:type="pct"/>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790"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337"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33"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186" w:type="pct"/>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74"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316"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16"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56" w:type="pct"/>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392" w:type="pct"/>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790"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337"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33"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186" w:type="pct"/>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74"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316"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16"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56" w:type="pct"/>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38" w:hRule="atLeast"/>
        </w:trPr>
        <w:tc>
          <w:tcPr>
            <w:tcW w:w="392" w:type="pct"/>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790"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337" w:type="pct"/>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33" w:type="pct"/>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186" w:type="pct"/>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474"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316"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16"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56" w:type="pct"/>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454" w:hRule="atLeast"/>
        </w:trPr>
        <w:tc>
          <w:tcPr>
            <w:tcW w:w="392" w:type="pct"/>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790"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337"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533"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396"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394"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396"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474"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316"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316"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656"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8" w:hRule="atLeast"/>
        </w:trPr>
        <w:tc>
          <w:tcPr>
            <w:tcW w:w="392" w:type="pct"/>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790"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337"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533"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发放（缴纳）覆盖率</w:t>
            </w:r>
          </w:p>
        </w:tc>
        <w:tc>
          <w:tcPr>
            <w:tcW w:w="396"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94"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396"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74"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100</w:t>
            </w:r>
          </w:p>
        </w:tc>
        <w:tc>
          <w:tcPr>
            <w:tcW w:w="316"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316"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60</w:t>
            </w:r>
          </w:p>
        </w:tc>
        <w:tc>
          <w:tcPr>
            <w:tcW w:w="656" w:type="pct"/>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392" w:type="pct"/>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790"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337"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533"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足额保障率（参保率）</w:t>
            </w:r>
          </w:p>
        </w:tc>
        <w:tc>
          <w:tcPr>
            <w:tcW w:w="396"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94"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396"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74"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100</w:t>
            </w:r>
          </w:p>
        </w:tc>
        <w:tc>
          <w:tcPr>
            <w:tcW w:w="316"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316"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30</w:t>
            </w:r>
          </w:p>
        </w:tc>
        <w:tc>
          <w:tcPr>
            <w:tcW w:w="656" w:type="pct"/>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285" w:hRule="atLeast"/>
        </w:trPr>
        <w:tc>
          <w:tcPr>
            <w:tcW w:w="3712"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316"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316" w:type="pct"/>
            <w:tcBorders>
              <w:top w:val="nil"/>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c>
          <w:tcPr>
            <w:tcW w:w="656" w:type="pct"/>
            <w:tcBorders>
              <w:top w:val="nil"/>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604" w:hRule="atLeast"/>
        </w:trPr>
        <w:tc>
          <w:tcPr>
            <w:tcW w:w="705" w:type="pct"/>
            <w:gridSpan w:val="2"/>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4295" w:type="pct"/>
            <w:gridSpan w:val="13"/>
            <w:tcBorders>
              <w:top w:val="single" w:color="000000" w:sz="4" w:space="0"/>
              <w:left w:val="nil"/>
              <w:bottom w:val="single" w:color="000000" w:sz="4" w:space="0"/>
              <w:right w:val="single" w:color="000000" w:sz="4" w:space="0"/>
            </w:tcBorders>
            <w:shd w:val="clear" w:color="auto" w:fill="auto"/>
            <w:vAlign w:val="center"/>
          </w:tcPr>
          <w:p>
            <w:pPr>
              <w:widowControl/>
              <w:jc w:val="left"/>
              <w:rPr>
                <w:rFonts w:cs="宋体" w:asciiTheme="minorEastAsia" w:hAnsiTheme="minorEastAsia" w:eastAsiaTheme="minorEastAsia"/>
                <w:i/>
                <w:iCs/>
                <w:color w:val="000000"/>
                <w:kern w:val="0"/>
                <w:sz w:val="20"/>
                <w:szCs w:val="20"/>
              </w:rPr>
            </w:pPr>
            <w:r>
              <w:rPr>
                <w:rFonts w:hint="eastAsia" w:cs="宋体" w:asciiTheme="minorEastAsia" w:hAnsiTheme="minorEastAsia" w:eastAsiaTheme="minorEastAsia"/>
                <w:i w:val="0"/>
                <w:iCs w:val="0"/>
                <w:color w:val="000000"/>
                <w:kern w:val="0"/>
                <w:sz w:val="20"/>
                <w:szCs w:val="20"/>
              </w:rPr>
              <w:t>结合自评情况，项目自评总分100分，说严格执行相关政策，保障工资及时、足额发放，预算编制科学合理，无结余资金</w:t>
            </w:r>
          </w:p>
        </w:tc>
      </w:tr>
      <w:tr>
        <w:tblPrEx>
          <w:tblCellMar>
            <w:top w:w="0" w:type="dxa"/>
            <w:left w:w="108" w:type="dxa"/>
            <w:bottom w:w="0" w:type="dxa"/>
            <w:right w:w="108" w:type="dxa"/>
          </w:tblCellMar>
        </w:tblPrEx>
        <w:trPr>
          <w:trHeight w:val="574" w:hRule="atLeast"/>
        </w:trPr>
        <w:tc>
          <w:tcPr>
            <w:tcW w:w="705" w:type="pct"/>
            <w:gridSpan w:val="2"/>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4295" w:type="pct"/>
            <w:gridSpan w:val="13"/>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34" w:hRule="atLeast"/>
        </w:trPr>
        <w:tc>
          <w:tcPr>
            <w:tcW w:w="705" w:type="pct"/>
            <w:gridSpan w:val="2"/>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4295" w:type="pct"/>
            <w:gridSpan w:val="13"/>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5" w:hRule="atLeast"/>
        </w:trPr>
        <w:tc>
          <w:tcPr>
            <w:tcW w:w="2061"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项目负责人：</w:t>
            </w:r>
          </w:p>
        </w:tc>
        <w:tc>
          <w:tcPr>
            <w:tcW w:w="2939" w:type="pct"/>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财务负责人：</w:t>
            </w:r>
          </w:p>
        </w:tc>
      </w:tr>
    </w:tbl>
    <w:p>
      <w:pPr>
        <w:spacing w:line="600" w:lineRule="exact"/>
        <w:outlineLvl w:val="0"/>
        <w:rPr>
          <w:rFonts w:ascii="微软雅黑" w:hAnsi="微软雅黑" w:cs="微软雅黑"/>
          <w:color w:val="000000"/>
          <w:sz w:val="24"/>
        </w:rPr>
      </w:pPr>
      <w:bookmarkStart w:id="60" w:name="_Toc26101"/>
    </w:p>
    <w:p>
      <w:pPr>
        <w:spacing w:line="600" w:lineRule="exact"/>
        <w:outlineLvl w:val="0"/>
        <w:rPr>
          <w:rFonts w:ascii="微软雅黑" w:hAnsi="微软雅黑" w:cs="微软雅黑"/>
          <w:color w:val="000000"/>
          <w:sz w:val="24"/>
        </w:rPr>
      </w:pPr>
    </w:p>
    <w:p>
      <w:pPr>
        <w:spacing w:line="600" w:lineRule="exact"/>
        <w:outlineLvl w:val="0"/>
        <w:rPr>
          <w:rFonts w:ascii="微软雅黑" w:hAnsi="微软雅黑" w:cs="微软雅黑"/>
          <w:color w:val="000000"/>
          <w:sz w:val="24"/>
        </w:rPr>
      </w:pPr>
      <w:r>
        <w:rPr>
          <w:rFonts w:hint="eastAsia" w:ascii="微软雅黑" w:hAnsi="微软雅黑" w:cs="微软雅黑"/>
          <w:color w:val="000000"/>
          <w:sz w:val="24"/>
        </w:rPr>
        <w:t>附件3</w:t>
      </w:r>
    </w:p>
    <w:tbl>
      <w:tblPr>
        <w:tblStyle w:val="13"/>
        <w:tblW w:w="9640" w:type="dxa"/>
        <w:tblInd w:w="-176" w:type="dxa"/>
        <w:tblLayout w:type="fixed"/>
        <w:tblCellMar>
          <w:top w:w="0" w:type="dxa"/>
          <w:left w:w="108" w:type="dxa"/>
          <w:bottom w:w="0" w:type="dxa"/>
          <w:right w:w="108" w:type="dxa"/>
        </w:tblCellMar>
      </w:tblPr>
      <w:tblGrid>
        <w:gridCol w:w="710"/>
        <w:gridCol w:w="277"/>
        <w:gridCol w:w="1424"/>
        <w:gridCol w:w="992"/>
        <w:gridCol w:w="1320"/>
        <w:gridCol w:w="479"/>
        <w:gridCol w:w="185"/>
        <w:gridCol w:w="709"/>
        <w:gridCol w:w="113"/>
        <w:gridCol w:w="596"/>
        <w:gridCol w:w="389"/>
        <w:gridCol w:w="461"/>
        <w:gridCol w:w="567"/>
        <w:gridCol w:w="567"/>
        <w:gridCol w:w="851"/>
      </w:tblGrid>
      <w:tr>
        <w:tblPrEx>
          <w:tblCellMar>
            <w:top w:w="0" w:type="dxa"/>
            <w:left w:w="108" w:type="dxa"/>
            <w:bottom w:w="0" w:type="dxa"/>
            <w:right w:w="108" w:type="dxa"/>
          </w:tblCellMar>
        </w:tblPrEx>
        <w:trPr>
          <w:trHeight w:val="904" w:hRule="atLeast"/>
        </w:trPr>
        <w:tc>
          <w:tcPr>
            <w:tcW w:w="9640"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241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7229" w:type="dxa"/>
            <w:gridSpan w:val="12"/>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51080023T000008949296-年度考核奖</w:t>
            </w:r>
          </w:p>
        </w:tc>
      </w:tr>
      <w:tr>
        <w:tblPrEx>
          <w:tblCellMar>
            <w:top w:w="0" w:type="dxa"/>
            <w:left w:w="108" w:type="dxa"/>
            <w:bottom w:w="0" w:type="dxa"/>
            <w:right w:w="108" w:type="dxa"/>
          </w:tblCellMar>
        </w:tblPrEx>
        <w:trPr>
          <w:trHeight w:val="514" w:hRule="atLeast"/>
        </w:trPr>
        <w:tc>
          <w:tcPr>
            <w:tcW w:w="241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3798"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中国共产党广元市委员会宣传部部门</w:t>
            </w:r>
          </w:p>
        </w:tc>
        <w:tc>
          <w:tcPr>
            <w:tcW w:w="985" w:type="dxa"/>
            <w:gridSpan w:val="2"/>
            <w:tcBorders>
              <w:top w:val="nil"/>
              <w:left w:val="nil"/>
              <w:bottom w:val="nil"/>
              <w:right w:val="nil"/>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实施单位 （盖章）</w:t>
            </w:r>
          </w:p>
        </w:tc>
        <w:tc>
          <w:tcPr>
            <w:tcW w:w="244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广元市作家协会</w:t>
            </w:r>
          </w:p>
        </w:tc>
      </w:tr>
      <w:tr>
        <w:tblPrEx>
          <w:tblCellMar>
            <w:top w:w="0" w:type="dxa"/>
            <w:left w:w="108" w:type="dxa"/>
            <w:bottom w:w="0" w:type="dxa"/>
            <w:right w:w="108" w:type="dxa"/>
          </w:tblCellMar>
        </w:tblPrEx>
        <w:trPr>
          <w:trHeight w:val="285" w:hRule="atLeast"/>
        </w:trPr>
        <w:tc>
          <w:tcPr>
            <w:tcW w:w="71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1701" w:type="dxa"/>
            <w:gridSpan w:val="2"/>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3798"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3431"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r>
      <w:tr>
        <w:tblPrEx>
          <w:tblCellMar>
            <w:top w:w="0" w:type="dxa"/>
            <w:left w:w="108" w:type="dxa"/>
            <w:bottom w:w="0" w:type="dxa"/>
            <w:right w:w="108" w:type="dxa"/>
          </w:tblCellMar>
        </w:tblPrEx>
        <w:trPr>
          <w:trHeight w:val="709" w:hRule="atLeast"/>
        </w:trPr>
        <w:tc>
          <w:tcPr>
            <w:tcW w:w="71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701" w:type="dxa"/>
            <w:gridSpan w:val="2"/>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3798"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推动全年目标任务完成。</w:t>
            </w:r>
          </w:p>
        </w:tc>
        <w:tc>
          <w:tcPr>
            <w:tcW w:w="3431"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hint="eastAsia" w:ascii="宋体" w:hAnsi="宋体" w:cs="宋体"/>
                <w:color w:val="000000"/>
                <w:kern w:val="0"/>
                <w:sz w:val="18"/>
                <w:szCs w:val="18"/>
              </w:rPr>
              <w:t>严格执行相关政策，保障工资及时、足额发放，预算编制科学合理，无结余资金</w:t>
            </w:r>
          </w:p>
        </w:tc>
      </w:tr>
      <w:tr>
        <w:tblPrEx>
          <w:tblCellMar>
            <w:top w:w="0" w:type="dxa"/>
            <w:left w:w="108" w:type="dxa"/>
            <w:bottom w:w="0" w:type="dxa"/>
            <w:right w:w="108" w:type="dxa"/>
          </w:tblCellMar>
        </w:tblPrEx>
        <w:trPr>
          <w:trHeight w:val="694" w:hRule="atLeast"/>
        </w:trPr>
        <w:tc>
          <w:tcPr>
            <w:tcW w:w="71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701" w:type="dxa"/>
            <w:gridSpan w:val="2"/>
            <w:tcBorders>
              <w:top w:val="nil"/>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7229" w:type="dxa"/>
            <w:gridSpan w:val="12"/>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严格执行相关政策，保障工资及时、足额发放，预算编制科学合理，无结余资金</w:t>
            </w:r>
          </w:p>
        </w:tc>
      </w:tr>
      <w:tr>
        <w:tblPrEx>
          <w:tblCellMar>
            <w:top w:w="0" w:type="dxa"/>
            <w:left w:w="108" w:type="dxa"/>
            <w:bottom w:w="0" w:type="dxa"/>
            <w:right w:w="108" w:type="dxa"/>
          </w:tblCellMar>
        </w:tblPrEx>
        <w:trPr>
          <w:trHeight w:val="360" w:hRule="atLeast"/>
        </w:trPr>
        <w:tc>
          <w:tcPr>
            <w:tcW w:w="71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1701"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992"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13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082"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850"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85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71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701"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992"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3.50</w:t>
            </w:r>
          </w:p>
        </w:tc>
        <w:tc>
          <w:tcPr>
            <w:tcW w:w="13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3.50</w:t>
            </w:r>
          </w:p>
        </w:tc>
        <w:tc>
          <w:tcPr>
            <w:tcW w:w="2082"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3.50</w:t>
            </w:r>
          </w:p>
        </w:tc>
        <w:tc>
          <w:tcPr>
            <w:tcW w:w="850"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851"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90" w:hRule="atLeast"/>
        </w:trPr>
        <w:tc>
          <w:tcPr>
            <w:tcW w:w="71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701"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992"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3.50</w:t>
            </w:r>
          </w:p>
        </w:tc>
        <w:tc>
          <w:tcPr>
            <w:tcW w:w="13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3.50</w:t>
            </w:r>
          </w:p>
        </w:tc>
        <w:tc>
          <w:tcPr>
            <w:tcW w:w="2082"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3.50</w:t>
            </w:r>
          </w:p>
        </w:tc>
        <w:tc>
          <w:tcPr>
            <w:tcW w:w="850"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409" w:hRule="atLeast"/>
        </w:trPr>
        <w:tc>
          <w:tcPr>
            <w:tcW w:w="71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701"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992"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3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082"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850"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71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701"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992"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3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082"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850"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38" w:hRule="atLeast"/>
        </w:trPr>
        <w:tc>
          <w:tcPr>
            <w:tcW w:w="71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701"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992"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32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082"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850"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454" w:hRule="atLeast"/>
        </w:trPr>
        <w:tc>
          <w:tcPr>
            <w:tcW w:w="71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1701"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992"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13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664"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09"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850"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85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8" w:hRule="atLeast"/>
        </w:trPr>
        <w:tc>
          <w:tcPr>
            <w:tcW w:w="71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701" w:type="dxa"/>
            <w:gridSpan w:val="2"/>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992"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13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发放人数</w:t>
            </w:r>
          </w:p>
        </w:tc>
        <w:tc>
          <w:tcPr>
            <w:tcW w:w="664"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709"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850"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5　</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　</w:t>
            </w:r>
          </w:p>
        </w:tc>
        <w:tc>
          <w:tcPr>
            <w:tcW w:w="851"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1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701" w:type="dxa"/>
            <w:gridSpan w:val="2"/>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992"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13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发放覆盖率</w:t>
            </w:r>
          </w:p>
        </w:tc>
        <w:tc>
          <w:tcPr>
            <w:tcW w:w="664"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09"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0"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100　</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　</w:t>
            </w:r>
          </w:p>
        </w:tc>
        <w:tc>
          <w:tcPr>
            <w:tcW w:w="851"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1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701"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992"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13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激励作用发挥</w:t>
            </w:r>
          </w:p>
        </w:tc>
        <w:tc>
          <w:tcPr>
            <w:tcW w:w="664"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好</w:t>
            </w:r>
          </w:p>
        </w:tc>
        <w:tc>
          <w:tcPr>
            <w:tcW w:w="709"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850"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好　</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　</w:t>
            </w:r>
          </w:p>
        </w:tc>
        <w:tc>
          <w:tcPr>
            <w:tcW w:w="851"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285" w:hRule="atLeast"/>
        </w:trPr>
        <w:tc>
          <w:tcPr>
            <w:tcW w:w="765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67"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100　</w:t>
            </w:r>
          </w:p>
        </w:tc>
        <w:tc>
          <w:tcPr>
            <w:tcW w:w="851"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604" w:hRule="atLeast"/>
        </w:trPr>
        <w:tc>
          <w:tcPr>
            <w:tcW w:w="987" w:type="dxa"/>
            <w:gridSpan w:val="2"/>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8653" w:type="dxa"/>
            <w:gridSpan w:val="13"/>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结合自评情况，该项目自评总分100分，</w:t>
            </w:r>
            <w:r>
              <w:rPr>
                <w:rFonts w:hint="eastAsia" w:ascii="宋体" w:hAnsi="宋体" w:cs="宋体"/>
                <w:color w:val="000000"/>
                <w:kern w:val="0"/>
                <w:sz w:val="18"/>
                <w:szCs w:val="18"/>
              </w:rPr>
              <w:t>严格执行相关政策，保障工资及时、足额发放，预算编制科学合理，无结余资金</w:t>
            </w:r>
          </w:p>
        </w:tc>
      </w:tr>
      <w:tr>
        <w:tblPrEx>
          <w:tblCellMar>
            <w:top w:w="0" w:type="dxa"/>
            <w:left w:w="108" w:type="dxa"/>
            <w:bottom w:w="0" w:type="dxa"/>
            <w:right w:w="108" w:type="dxa"/>
          </w:tblCellMar>
        </w:tblPrEx>
        <w:trPr>
          <w:trHeight w:val="574" w:hRule="atLeast"/>
        </w:trPr>
        <w:tc>
          <w:tcPr>
            <w:tcW w:w="987" w:type="dxa"/>
            <w:gridSpan w:val="2"/>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8653" w:type="dxa"/>
            <w:gridSpan w:val="13"/>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34" w:hRule="atLeast"/>
        </w:trPr>
        <w:tc>
          <w:tcPr>
            <w:tcW w:w="987" w:type="dxa"/>
            <w:gridSpan w:val="2"/>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8653" w:type="dxa"/>
            <w:gridSpan w:val="13"/>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5" w:hRule="atLeast"/>
        </w:trPr>
        <w:tc>
          <w:tcPr>
            <w:tcW w:w="520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项目负责人：</w:t>
            </w:r>
          </w:p>
        </w:tc>
        <w:tc>
          <w:tcPr>
            <w:tcW w:w="4438"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财务负责人：</w:t>
            </w:r>
          </w:p>
        </w:tc>
      </w:tr>
    </w:tbl>
    <w:p>
      <w:pPr>
        <w:pStyle w:val="2"/>
        <w:spacing w:before="319"/>
        <w:ind w:left="0" w:firstLine="0"/>
      </w:pPr>
    </w:p>
    <w:p>
      <w:pPr>
        <w:pStyle w:val="2"/>
        <w:spacing w:before="319"/>
        <w:ind w:left="0" w:firstLine="0"/>
      </w:pPr>
    </w:p>
    <w:p>
      <w:pPr>
        <w:pStyle w:val="2"/>
        <w:spacing w:before="319"/>
        <w:ind w:left="0" w:firstLine="0"/>
      </w:pPr>
      <w:r>
        <w:rPr>
          <w:rFonts w:hint="eastAsia"/>
        </w:rPr>
        <w:t>附件4</w:t>
      </w:r>
    </w:p>
    <w:tbl>
      <w:tblPr>
        <w:tblStyle w:val="13"/>
        <w:tblW w:w="8931" w:type="dxa"/>
        <w:tblInd w:w="-176" w:type="dxa"/>
        <w:tblLayout w:type="autofit"/>
        <w:tblCellMar>
          <w:top w:w="0" w:type="dxa"/>
          <w:left w:w="108" w:type="dxa"/>
          <w:bottom w:w="0" w:type="dxa"/>
          <w:right w:w="108" w:type="dxa"/>
        </w:tblCellMar>
      </w:tblPr>
      <w:tblGrid>
        <w:gridCol w:w="950"/>
        <w:gridCol w:w="1143"/>
        <w:gridCol w:w="1343"/>
        <w:gridCol w:w="1068"/>
        <w:gridCol w:w="919"/>
        <w:gridCol w:w="486"/>
        <w:gridCol w:w="396"/>
        <w:gridCol w:w="846"/>
        <w:gridCol w:w="486"/>
        <w:gridCol w:w="486"/>
        <w:gridCol w:w="808"/>
      </w:tblGrid>
      <w:tr>
        <w:tblPrEx>
          <w:tblCellMar>
            <w:top w:w="0" w:type="dxa"/>
            <w:left w:w="108" w:type="dxa"/>
            <w:bottom w:w="0" w:type="dxa"/>
            <w:right w:w="108" w:type="dxa"/>
          </w:tblCellMar>
        </w:tblPrEx>
        <w:trPr>
          <w:trHeight w:val="904" w:hRule="atLeast"/>
        </w:trPr>
        <w:tc>
          <w:tcPr>
            <w:tcW w:w="8931"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212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6808"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51080023R000009698970-单位年度考核奖</w:t>
            </w:r>
          </w:p>
        </w:tc>
      </w:tr>
      <w:tr>
        <w:tblPrEx>
          <w:tblCellMar>
            <w:top w:w="0" w:type="dxa"/>
            <w:left w:w="108" w:type="dxa"/>
            <w:bottom w:w="0" w:type="dxa"/>
            <w:right w:w="108" w:type="dxa"/>
          </w:tblCellMar>
        </w:tblPrEx>
        <w:trPr>
          <w:trHeight w:val="514" w:hRule="atLeast"/>
        </w:trPr>
        <w:tc>
          <w:tcPr>
            <w:tcW w:w="212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4265"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中国共产党广元市委员会宣传部部门</w:t>
            </w:r>
          </w:p>
        </w:tc>
        <w:tc>
          <w:tcPr>
            <w:tcW w:w="0" w:type="auto"/>
            <w:tcBorders>
              <w:top w:val="nil"/>
              <w:left w:val="nil"/>
              <w:bottom w:val="nil"/>
              <w:right w:val="nil"/>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实施单位 （盖章）</w:t>
            </w:r>
          </w:p>
        </w:tc>
        <w:tc>
          <w:tcPr>
            <w:tcW w:w="16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广元市作家协会</w:t>
            </w:r>
          </w:p>
        </w:tc>
      </w:tr>
      <w:tr>
        <w:tblPrEx>
          <w:tblCellMar>
            <w:top w:w="0" w:type="dxa"/>
            <w:left w:w="108" w:type="dxa"/>
            <w:bottom w:w="0" w:type="dxa"/>
            <w:right w:w="108" w:type="dxa"/>
          </w:tblCellMar>
        </w:tblPrEx>
        <w:trPr>
          <w:trHeight w:val="285" w:hRule="atLeast"/>
        </w:trPr>
        <w:tc>
          <w:tcPr>
            <w:tcW w:w="962"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1161"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4265"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2543"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r>
      <w:tr>
        <w:tblPrEx>
          <w:tblCellMar>
            <w:top w:w="0" w:type="dxa"/>
            <w:left w:w="108" w:type="dxa"/>
            <w:bottom w:w="0" w:type="dxa"/>
            <w:right w:w="108" w:type="dxa"/>
          </w:tblCellMar>
        </w:tblPrEx>
        <w:trPr>
          <w:trHeight w:val="709" w:hRule="atLeast"/>
        </w:trPr>
        <w:tc>
          <w:tcPr>
            <w:tcW w:w="962"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161"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4265"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严格执行相关政策，保障工资及时、足额发放或社保及时、足额缴纳，预算编制科学合理，减少结余资金</w:t>
            </w:r>
          </w:p>
        </w:tc>
        <w:tc>
          <w:tcPr>
            <w:tcW w:w="2543"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hint="eastAsia" w:ascii="宋体" w:hAnsi="宋体" w:cs="宋体"/>
                <w:color w:val="000000"/>
                <w:kern w:val="0"/>
                <w:sz w:val="18"/>
                <w:szCs w:val="18"/>
              </w:rPr>
              <w:t>严格执行相关政策，保障考核奖及时、足额发放预算编制科学合理，无结余资金</w:t>
            </w:r>
          </w:p>
        </w:tc>
      </w:tr>
      <w:tr>
        <w:tblPrEx>
          <w:tblCellMar>
            <w:top w:w="0" w:type="dxa"/>
            <w:left w:w="108" w:type="dxa"/>
            <w:bottom w:w="0" w:type="dxa"/>
            <w:right w:w="108" w:type="dxa"/>
          </w:tblCellMar>
        </w:tblPrEx>
        <w:trPr>
          <w:trHeight w:val="694" w:hRule="atLeast"/>
        </w:trPr>
        <w:tc>
          <w:tcPr>
            <w:tcW w:w="962"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161"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6808"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严格执行相关政策，保障工资及时、足额发放预算编制科学合理，无结余资金</w:t>
            </w:r>
          </w:p>
        </w:tc>
      </w:tr>
      <w:tr>
        <w:tblPrEx>
          <w:tblCellMar>
            <w:top w:w="0" w:type="dxa"/>
            <w:left w:w="108" w:type="dxa"/>
            <w:bottom w:w="0" w:type="dxa"/>
            <w:right w:w="108" w:type="dxa"/>
          </w:tblCellMar>
        </w:tblPrEx>
        <w:trPr>
          <w:trHeight w:val="360" w:hRule="atLeast"/>
        </w:trPr>
        <w:tc>
          <w:tcPr>
            <w:tcW w:w="962"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116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3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108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0" w:type="auto"/>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0" w:type="auto"/>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0" w:type="auto"/>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0" w:type="auto"/>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815"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962"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16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3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08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1.50</w:t>
            </w:r>
          </w:p>
        </w:tc>
        <w:tc>
          <w:tcPr>
            <w:tcW w:w="0" w:type="auto"/>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1.50</w:t>
            </w:r>
          </w:p>
        </w:tc>
        <w:tc>
          <w:tcPr>
            <w:tcW w:w="0" w:type="auto"/>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0" w:type="auto"/>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0" w:type="auto"/>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815"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cs="Courier New"/>
                <w:i/>
                <w:iCs/>
                <w:color w:val="000000"/>
                <w:kern w:val="0"/>
                <w:sz w:val="18"/>
                <w:szCs w:val="18"/>
              </w:rPr>
            </w:pPr>
            <w:r>
              <w:rPr>
                <w:rFonts w:hint="eastAsia" w:ascii="Courier New" w:hAnsi="Courier New" w:cs="Courier New"/>
                <w:i w:val="0"/>
                <w:iCs w:val="0"/>
                <w:color w:val="000000"/>
                <w:kern w:val="0"/>
                <w:sz w:val="18"/>
                <w:szCs w:val="18"/>
              </w:rPr>
              <w:t>根据年度考核等次，财政追加考核奖。</w:t>
            </w:r>
          </w:p>
        </w:tc>
      </w:tr>
      <w:tr>
        <w:tblPrEx>
          <w:tblCellMar>
            <w:top w:w="0" w:type="dxa"/>
            <w:left w:w="108" w:type="dxa"/>
            <w:bottom w:w="0" w:type="dxa"/>
            <w:right w:w="108" w:type="dxa"/>
          </w:tblCellMar>
        </w:tblPrEx>
        <w:trPr>
          <w:trHeight w:val="390" w:hRule="atLeast"/>
        </w:trPr>
        <w:tc>
          <w:tcPr>
            <w:tcW w:w="962"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16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3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08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1.50</w:t>
            </w:r>
          </w:p>
        </w:tc>
        <w:tc>
          <w:tcPr>
            <w:tcW w:w="0" w:type="auto"/>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1.50</w:t>
            </w:r>
          </w:p>
        </w:tc>
        <w:tc>
          <w:tcPr>
            <w:tcW w:w="0" w:type="auto"/>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0" w:type="auto"/>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0" w:type="auto"/>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15"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409" w:hRule="atLeast"/>
        </w:trPr>
        <w:tc>
          <w:tcPr>
            <w:tcW w:w="962"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16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3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08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0" w:type="auto"/>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0" w:type="auto"/>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0" w:type="auto"/>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0" w:type="auto"/>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15"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962"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16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3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08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0" w:type="auto"/>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0" w:type="auto"/>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0" w:type="auto"/>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0" w:type="auto"/>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15"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38" w:hRule="atLeast"/>
        </w:trPr>
        <w:tc>
          <w:tcPr>
            <w:tcW w:w="962"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16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367"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083"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0" w:type="auto"/>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0" w:type="auto"/>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0" w:type="auto"/>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0" w:type="auto"/>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15"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454" w:hRule="atLeast"/>
        </w:trPr>
        <w:tc>
          <w:tcPr>
            <w:tcW w:w="962"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116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3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108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0" w:type="auto"/>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0" w:type="auto"/>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0" w:type="auto"/>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0" w:type="auto"/>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0" w:type="auto"/>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0" w:type="auto"/>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815"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8" w:hRule="atLeast"/>
        </w:trPr>
        <w:tc>
          <w:tcPr>
            <w:tcW w:w="962"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16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3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108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发放（缴纳）覆盖率</w:t>
            </w:r>
          </w:p>
        </w:tc>
        <w:tc>
          <w:tcPr>
            <w:tcW w:w="0" w:type="auto"/>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0" w:type="auto"/>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0" w:type="auto"/>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0" w:type="auto"/>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100　</w:t>
            </w:r>
          </w:p>
        </w:tc>
        <w:tc>
          <w:tcPr>
            <w:tcW w:w="0" w:type="auto"/>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0" w:type="auto"/>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　</w:t>
            </w:r>
          </w:p>
        </w:tc>
        <w:tc>
          <w:tcPr>
            <w:tcW w:w="815"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962"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16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3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108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足额保障率（参保率）</w:t>
            </w:r>
          </w:p>
        </w:tc>
        <w:tc>
          <w:tcPr>
            <w:tcW w:w="0" w:type="auto"/>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0" w:type="auto"/>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0" w:type="auto"/>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0" w:type="auto"/>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100　</w:t>
            </w:r>
          </w:p>
        </w:tc>
        <w:tc>
          <w:tcPr>
            <w:tcW w:w="0" w:type="auto"/>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0" w:type="auto"/>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　</w:t>
            </w:r>
          </w:p>
        </w:tc>
        <w:tc>
          <w:tcPr>
            <w:tcW w:w="815"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285" w:hRule="atLeast"/>
        </w:trPr>
        <w:tc>
          <w:tcPr>
            <w:tcW w:w="7234"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0" w:type="auto"/>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0" w:type="auto"/>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815"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604" w:hRule="atLeast"/>
        </w:trPr>
        <w:tc>
          <w:tcPr>
            <w:tcW w:w="962"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7969"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val="0"/>
                <w:iCs w:val="0"/>
                <w:color w:val="000000"/>
                <w:kern w:val="0"/>
                <w:sz w:val="16"/>
                <w:szCs w:val="16"/>
              </w:rPr>
              <w:t>结合自评情况，该项目自评总分100分，</w:t>
            </w:r>
            <w:r>
              <w:rPr>
                <w:rFonts w:hint="eastAsia" w:ascii="宋体" w:hAnsi="宋体" w:cs="宋体"/>
                <w:i w:val="0"/>
                <w:iCs w:val="0"/>
                <w:color w:val="000000"/>
                <w:kern w:val="0"/>
                <w:sz w:val="18"/>
                <w:szCs w:val="18"/>
              </w:rPr>
              <w:t>严格执行相关政策，保障工资及时、足额发放，预算编制科学合理，无结余资金</w:t>
            </w:r>
          </w:p>
        </w:tc>
      </w:tr>
      <w:tr>
        <w:tblPrEx>
          <w:tblCellMar>
            <w:top w:w="0" w:type="dxa"/>
            <w:left w:w="108" w:type="dxa"/>
            <w:bottom w:w="0" w:type="dxa"/>
            <w:right w:w="108" w:type="dxa"/>
          </w:tblCellMar>
        </w:tblPrEx>
        <w:trPr>
          <w:trHeight w:val="574" w:hRule="atLeast"/>
        </w:trPr>
        <w:tc>
          <w:tcPr>
            <w:tcW w:w="962"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7969"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34" w:hRule="atLeast"/>
        </w:trPr>
        <w:tc>
          <w:tcPr>
            <w:tcW w:w="962"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7969"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5" w:hRule="atLeast"/>
        </w:trPr>
        <w:tc>
          <w:tcPr>
            <w:tcW w:w="550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项目负责人：</w:t>
            </w:r>
          </w:p>
        </w:tc>
        <w:tc>
          <w:tcPr>
            <w:tcW w:w="3425"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财务负责人：</w:t>
            </w:r>
          </w:p>
        </w:tc>
      </w:tr>
    </w:tbl>
    <w:p>
      <w:pPr>
        <w:pStyle w:val="2"/>
        <w:spacing w:before="319"/>
        <w:ind w:left="0" w:firstLine="0"/>
        <w:rPr>
          <w:rFonts w:hint="eastAsia"/>
        </w:rPr>
      </w:pPr>
    </w:p>
    <w:p>
      <w:pPr>
        <w:pStyle w:val="2"/>
        <w:spacing w:before="319"/>
        <w:ind w:left="0" w:firstLine="0"/>
      </w:pPr>
      <w:r>
        <w:rPr>
          <w:rFonts w:hint="eastAsia"/>
        </w:rPr>
        <w:t>附件5</w:t>
      </w:r>
    </w:p>
    <w:tbl>
      <w:tblPr>
        <w:tblStyle w:val="13"/>
        <w:tblW w:w="9923" w:type="dxa"/>
        <w:tblInd w:w="-459" w:type="dxa"/>
        <w:tblLayout w:type="fixed"/>
        <w:tblCellMar>
          <w:top w:w="0" w:type="dxa"/>
          <w:left w:w="108" w:type="dxa"/>
          <w:bottom w:w="0" w:type="dxa"/>
          <w:right w:w="108" w:type="dxa"/>
        </w:tblCellMar>
      </w:tblPr>
      <w:tblGrid>
        <w:gridCol w:w="709"/>
        <w:gridCol w:w="484"/>
        <w:gridCol w:w="508"/>
        <w:gridCol w:w="1418"/>
        <w:gridCol w:w="1946"/>
        <w:gridCol w:w="605"/>
        <w:gridCol w:w="270"/>
        <w:gridCol w:w="439"/>
        <w:gridCol w:w="443"/>
        <w:gridCol w:w="266"/>
        <w:gridCol w:w="580"/>
        <w:gridCol w:w="129"/>
        <w:gridCol w:w="567"/>
        <w:gridCol w:w="567"/>
        <w:gridCol w:w="992"/>
      </w:tblGrid>
      <w:tr>
        <w:tblPrEx>
          <w:tblCellMar>
            <w:top w:w="0" w:type="dxa"/>
            <w:left w:w="108" w:type="dxa"/>
            <w:bottom w:w="0" w:type="dxa"/>
            <w:right w:w="108" w:type="dxa"/>
          </w:tblCellMar>
        </w:tblPrEx>
        <w:trPr>
          <w:trHeight w:val="904" w:hRule="atLeast"/>
        </w:trPr>
        <w:tc>
          <w:tcPr>
            <w:tcW w:w="9923"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17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8222" w:type="dxa"/>
            <w:gridSpan w:val="12"/>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51000021Y000000011490-日常公用经费</w:t>
            </w:r>
          </w:p>
        </w:tc>
      </w:tr>
      <w:tr>
        <w:tblPrEx>
          <w:tblCellMar>
            <w:top w:w="0" w:type="dxa"/>
            <w:left w:w="108" w:type="dxa"/>
            <w:bottom w:w="0" w:type="dxa"/>
            <w:right w:w="108" w:type="dxa"/>
          </w:tblCellMar>
        </w:tblPrEx>
        <w:trPr>
          <w:trHeight w:val="514" w:hRule="atLeast"/>
        </w:trPr>
        <w:tc>
          <w:tcPr>
            <w:tcW w:w="17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5121"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中国共产党广元市委员会宣传部部门</w:t>
            </w:r>
          </w:p>
        </w:tc>
        <w:tc>
          <w:tcPr>
            <w:tcW w:w="846" w:type="dxa"/>
            <w:gridSpan w:val="2"/>
            <w:tcBorders>
              <w:top w:val="nil"/>
              <w:left w:val="nil"/>
              <w:bottom w:val="nil"/>
              <w:right w:val="nil"/>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实施单位</w:t>
            </w:r>
          </w:p>
        </w:tc>
        <w:tc>
          <w:tcPr>
            <w:tcW w:w="225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广元市作家协会</w:t>
            </w:r>
          </w:p>
        </w:tc>
      </w:tr>
      <w:tr>
        <w:tblPrEx>
          <w:tblCellMar>
            <w:top w:w="0" w:type="dxa"/>
            <w:left w:w="108" w:type="dxa"/>
            <w:bottom w:w="0" w:type="dxa"/>
            <w:right w:w="108" w:type="dxa"/>
          </w:tblCellMar>
        </w:tblPrEx>
        <w:trPr>
          <w:trHeight w:val="285" w:hRule="atLeast"/>
        </w:trPr>
        <w:tc>
          <w:tcPr>
            <w:tcW w:w="70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992" w:type="dxa"/>
            <w:gridSpan w:val="2"/>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5121"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3101"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r>
      <w:tr>
        <w:tblPrEx>
          <w:tblCellMar>
            <w:top w:w="0" w:type="dxa"/>
            <w:left w:w="108" w:type="dxa"/>
            <w:bottom w:w="0" w:type="dxa"/>
            <w:right w:w="108" w:type="dxa"/>
          </w:tblCellMar>
        </w:tblPrEx>
        <w:trPr>
          <w:trHeight w:val="709" w:hRule="atLeast"/>
        </w:trPr>
        <w:tc>
          <w:tcPr>
            <w:tcW w:w="709"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992" w:type="dxa"/>
            <w:gridSpan w:val="2"/>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5121"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提高预算编制质量，严格执行预算，保障单位日常运转</w:t>
            </w:r>
          </w:p>
        </w:tc>
        <w:tc>
          <w:tcPr>
            <w:tcW w:w="3101"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hint="eastAsia" w:ascii="宋体" w:hAnsi="宋体" w:cs="宋体"/>
                <w:color w:val="000000"/>
                <w:kern w:val="0"/>
                <w:sz w:val="18"/>
                <w:szCs w:val="18"/>
              </w:rPr>
              <w:t>严格执行预算，保障单位日常运转</w:t>
            </w:r>
          </w:p>
        </w:tc>
      </w:tr>
      <w:tr>
        <w:tblPrEx>
          <w:tblCellMar>
            <w:top w:w="0" w:type="dxa"/>
            <w:left w:w="108" w:type="dxa"/>
            <w:bottom w:w="0" w:type="dxa"/>
            <w:right w:w="108" w:type="dxa"/>
          </w:tblCellMar>
        </w:tblPrEx>
        <w:trPr>
          <w:trHeight w:val="694" w:hRule="atLeast"/>
        </w:trPr>
        <w:tc>
          <w:tcPr>
            <w:tcW w:w="709"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992" w:type="dxa"/>
            <w:gridSpan w:val="2"/>
            <w:tcBorders>
              <w:top w:val="nil"/>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8222" w:type="dxa"/>
            <w:gridSpan w:val="12"/>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r>
              <w:rPr>
                <w:rFonts w:ascii="宋体" w:hAnsi="宋体" w:cs="宋体"/>
                <w:color w:val="000000"/>
                <w:kern w:val="0"/>
                <w:sz w:val="18"/>
                <w:szCs w:val="18"/>
              </w:rPr>
              <w:t>严格按照财政资金使用有关规定，按照既定目标推进工作，保障单位高效运转。</w:t>
            </w:r>
          </w:p>
        </w:tc>
      </w:tr>
      <w:tr>
        <w:tblPrEx>
          <w:tblCellMar>
            <w:top w:w="0" w:type="dxa"/>
            <w:left w:w="108" w:type="dxa"/>
            <w:bottom w:w="0" w:type="dxa"/>
            <w:right w:w="108" w:type="dxa"/>
          </w:tblCellMar>
        </w:tblPrEx>
        <w:trPr>
          <w:trHeight w:val="360" w:hRule="atLeast"/>
        </w:trPr>
        <w:tc>
          <w:tcPr>
            <w:tcW w:w="70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992"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41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194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023"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709"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992"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709"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992"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41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7.50</w:t>
            </w:r>
          </w:p>
        </w:tc>
        <w:tc>
          <w:tcPr>
            <w:tcW w:w="194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7.50</w:t>
            </w:r>
          </w:p>
        </w:tc>
        <w:tc>
          <w:tcPr>
            <w:tcW w:w="2023"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7.50</w:t>
            </w:r>
          </w:p>
        </w:tc>
        <w:tc>
          <w:tcPr>
            <w:tcW w:w="709"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992"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90" w:hRule="atLeast"/>
        </w:trPr>
        <w:tc>
          <w:tcPr>
            <w:tcW w:w="709"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992"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41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7.50</w:t>
            </w:r>
          </w:p>
        </w:tc>
        <w:tc>
          <w:tcPr>
            <w:tcW w:w="194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7.50</w:t>
            </w:r>
          </w:p>
        </w:tc>
        <w:tc>
          <w:tcPr>
            <w:tcW w:w="2023"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7.50</w:t>
            </w:r>
          </w:p>
        </w:tc>
        <w:tc>
          <w:tcPr>
            <w:tcW w:w="709"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92"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409" w:hRule="atLeast"/>
        </w:trPr>
        <w:tc>
          <w:tcPr>
            <w:tcW w:w="709"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992"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41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94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023"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709"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92"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709"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992"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41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94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023"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709"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92"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38" w:hRule="atLeast"/>
        </w:trPr>
        <w:tc>
          <w:tcPr>
            <w:tcW w:w="709"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992"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418"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946"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023"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709"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92"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454" w:hRule="atLeast"/>
        </w:trPr>
        <w:tc>
          <w:tcPr>
            <w:tcW w:w="70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992"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41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194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605"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709"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09"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709"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992"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8" w:hRule="atLeast"/>
        </w:trPr>
        <w:tc>
          <w:tcPr>
            <w:tcW w:w="709"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992" w:type="dxa"/>
            <w:gridSpan w:val="2"/>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41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194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科目调整次数</w:t>
            </w:r>
          </w:p>
        </w:tc>
        <w:tc>
          <w:tcPr>
            <w:tcW w:w="605"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09"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709"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次</w:t>
            </w:r>
          </w:p>
        </w:tc>
        <w:tc>
          <w:tcPr>
            <w:tcW w:w="709"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1</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　</w:t>
            </w:r>
          </w:p>
        </w:tc>
        <w:tc>
          <w:tcPr>
            <w:tcW w:w="992"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679" w:hRule="atLeast"/>
        </w:trPr>
        <w:tc>
          <w:tcPr>
            <w:tcW w:w="709"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992" w:type="dxa"/>
            <w:gridSpan w:val="2"/>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41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194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预算编制准确率（计算方法为：∣（执行数-预算数）/预算数∣）</w:t>
            </w:r>
          </w:p>
        </w:tc>
        <w:tc>
          <w:tcPr>
            <w:tcW w:w="605"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09"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709"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09"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1</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28　</w:t>
            </w:r>
          </w:p>
        </w:tc>
        <w:tc>
          <w:tcPr>
            <w:tcW w:w="992"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904" w:hRule="atLeast"/>
        </w:trPr>
        <w:tc>
          <w:tcPr>
            <w:tcW w:w="709"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992" w:type="dxa"/>
            <w:gridSpan w:val="2"/>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41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经济效益指标</w:t>
            </w:r>
          </w:p>
        </w:tc>
        <w:tc>
          <w:tcPr>
            <w:tcW w:w="194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“三公经费”控制率[计算方法为：（三公经费实际支出数/预算安排数]×100%）</w:t>
            </w:r>
          </w:p>
        </w:tc>
        <w:tc>
          <w:tcPr>
            <w:tcW w:w="605"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09"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09"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09"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100</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　</w:t>
            </w:r>
          </w:p>
        </w:tc>
        <w:tc>
          <w:tcPr>
            <w:tcW w:w="992"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9"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992" w:type="dxa"/>
            <w:gridSpan w:val="2"/>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41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194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运转保障率</w:t>
            </w:r>
          </w:p>
        </w:tc>
        <w:tc>
          <w:tcPr>
            <w:tcW w:w="605"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09"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09"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09"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100　</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　</w:t>
            </w:r>
          </w:p>
        </w:tc>
        <w:tc>
          <w:tcPr>
            <w:tcW w:w="992"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285" w:hRule="atLeast"/>
        </w:trPr>
        <w:tc>
          <w:tcPr>
            <w:tcW w:w="7797"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67"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98　</w:t>
            </w:r>
          </w:p>
        </w:tc>
        <w:tc>
          <w:tcPr>
            <w:tcW w:w="992"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604" w:hRule="atLeast"/>
        </w:trPr>
        <w:tc>
          <w:tcPr>
            <w:tcW w:w="1193" w:type="dxa"/>
            <w:gridSpan w:val="2"/>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8730" w:type="dxa"/>
            <w:gridSpan w:val="13"/>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Cs/>
                <w:color w:val="000000"/>
                <w:kern w:val="0"/>
                <w:sz w:val="16"/>
                <w:szCs w:val="16"/>
              </w:rPr>
            </w:pPr>
            <w:r>
              <w:rPr>
                <w:rFonts w:hint="eastAsia" w:ascii="微软雅黑" w:hAnsi="微软雅黑" w:eastAsia="微软雅黑" w:cs="宋体"/>
                <w:iCs/>
                <w:color w:val="000000"/>
                <w:kern w:val="0"/>
                <w:sz w:val="16"/>
                <w:szCs w:val="16"/>
              </w:rPr>
              <w:t>结合自评情况，该项目自评总分98分，</w:t>
            </w:r>
            <w:r>
              <w:rPr>
                <w:rFonts w:hint="eastAsia" w:ascii="宋体" w:hAnsi="宋体" w:cs="宋体"/>
                <w:color w:val="000000"/>
                <w:kern w:val="0"/>
                <w:sz w:val="18"/>
                <w:szCs w:val="18"/>
              </w:rPr>
              <w:t>　</w:t>
            </w:r>
            <w:r>
              <w:rPr>
                <w:rFonts w:ascii="宋体" w:hAnsi="宋体" w:cs="宋体"/>
                <w:color w:val="000000"/>
                <w:kern w:val="0"/>
                <w:sz w:val="18"/>
                <w:szCs w:val="18"/>
              </w:rPr>
              <w:t>严格按照财政资金使用有关规定，按照既定目标推进工作，保障单位高效运转。</w:t>
            </w:r>
          </w:p>
        </w:tc>
      </w:tr>
      <w:tr>
        <w:tblPrEx>
          <w:tblCellMar>
            <w:top w:w="0" w:type="dxa"/>
            <w:left w:w="108" w:type="dxa"/>
            <w:bottom w:w="0" w:type="dxa"/>
            <w:right w:w="108" w:type="dxa"/>
          </w:tblCellMar>
        </w:tblPrEx>
        <w:trPr>
          <w:trHeight w:val="574" w:hRule="atLeast"/>
        </w:trPr>
        <w:tc>
          <w:tcPr>
            <w:tcW w:w="1193" w:type="dxa"/>
            <w:gridSpan w:val="2"/>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8730" w:type="dxa"/>
            <w:gridSpan w:val="13"/>
            <w:tcBorders>
              <w:top w:val="single" w:color="000000" w:sz="4" w:space="0"/>
              <w:left w:val="nil"/>
              <w:bottom w:val="single" w:color="000000" w:sz="4" w:space="0"/>
              <w:right w:val="single" w:color="000000" w:sz="4" w:space="0"/>
            </w:tcBorders>
            <w:shd w:val="clear" w:color="auto" w:fill="auto"/>
            <w:vAlign w:val="center"/>
          </w:tcPr>
          <w:p>
            <w:pPr>
              <w:widowControl/>
              <w:jc w:val="left"/>
              <w:rPr>
                <w:rFonts w:hint="eastAsia" w:cs="宋体" w:asciiTheme="minorEastAsia" w:hAnsiTheme="minorEastAsia" w:eastAsiaTheme="minorEastAsia"/>
                <w:iCs/>
                <w:color w:val="000000"/>
                <w:kern w:val="0"/>
                <w:sz w:val="20"/>
                <w:szCs w:val="20"/>
                <w:lang w:eastAsia="zh-CN"/>
              </w:rPr>
            </w:pPr>
            <w:r>
              <w:rPr>
                <w:rFonts w:hint="eastAsia" w:cs="宋体" w:asciiTheme="minorEastAsia" w:hAnsiTheme="minorEastAsia" w:eastAsiaTheme="minorEastAsia"/>
                <w:iCs/>
                <w:color w:val="000000"/>
                <w:kern w:val="0"/>
                <w:sz w:val="20"/>
                <w:szCs w:val="20"/>
              </w:rPr>
              <w:t>经济科目有少许变更</w:t>
            </w:r>
            <w:r>
              <w:rPr>
                <w:rFonts w:hint="eastAsia" w:cs="宋体" w:asciiTheme="minorEastAsia" w:hAnsiTheme="minorEastAsia" w:eastAsiaTheme="minorEastAsia"/>
                <w:iCs/>
                <w:color w:val="000000"/>
                <w:kern w:val="0"/>
                <w:sz w:val="20"/>
                <w:szCs w:val="20"/>
                <w:lang w:eastAsia="zh-CN"/>
              </w:rPr>
              <w:t>。</w:t>
            </w:r>
          </w:p>
        </w:tc>
      </w:tr>
      <w:tr>
        <w:tblPrEx>
          <w:tblCellMar>
            <w:top w:w="0" w:type="dxa"/>
            <w:left w:w="108" w:type="dxa"/>
            <w:bottom w:w="0" w:type="dxa"/>
            <w:right w:w="108" w:type="dxa"/>
          </w:tblCellMar>
        </w:tblPrEx>
        <w:trPr>
          <w:trHeight w:val="417" w:hRule="atLeast"/>
        </w:trPr>
        <w:tc>
          <w:tcPr>
            <w:tcW w:w="1193" w:type="dxa"/>
            <w:gridSpan w:val="2"/>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8730" w:type="dxa"/>
            <w:gridSpan w:val="13"/>
            <w:tcBorders>
              <w:top w:val="single" w:color="000000" w:sz="4" w:space="0"/>
              <w:left w:val="nil"/>
              <w:bottom w:val="single" w:color="000000" w:sz="4" w:space="0"/>
              <w:right w:val="single" w:color="000000" w:sz="4" w:space="0"/>
            </w:tcBorders>
            <w:shd w:val="clear" w:color="auto" w:fill="auto"/>
            <w:vAlign w:val="center"/>
          </w:tcPr>
          <w:p>
            <w:pPr>
              <w:widowControl/>
              <w:jc w:val="left"/>
              <w:rPr>
                <w:rFonts w:hint="eastAsia" w:cs="宋体" w:asciiTheme="minorEastAsia" w:hAnsiTheme="minorEastAsia" w:eastAsiaTheme="minorEastAsia"/>
                <w:iCs/>
                <w:color w:val="000000"/>
                <w:kern w:val="0"/>
                <w:sz w:val="20"/>
                <w:szCs w:val="20"/>
                <w:lang w:eastAsia="zh-CN"/>
              </w:rPr>
            </w:pPr>
            <w:r>
              <w:rPr>
                <w:rFonts w:hint="eastAsia" w:cs="宋体" w:asciiTheme="minorEastAsia" w:hAnsiTheme="minorEastAsia" w:eastAsiaTheme="minorEastAsia"/>
                <w:color w:val="000000"/>
                <w:kern w:val="0"/>
                <w:sz w:val="20"/>
                <w:szCs w:val="20"/>
              </w:rPr>
              <w:t>提高预算编制质量，严格执行预算</w:t>
            </w:r>
            <w:r>
              <w:rPr>
                <w:rFonts w:hint="eastAsia" w:cs="宋体" w:asciiTheme="minorEastAsia" w:hAnsiTheme="minorEastAsia" w:eastAsiaTheme="minorEastAsia"/>
                <w:color w:val="000000"/>
                <w:kern w:val="0"/>
                <w:sz w:val="20"/>
                <w:szCs w:val="20"/>
                <w:lang w:eastAsia="zh-CN"/>
              </w:rPr>
              <w:t>。</w:t>
            </w:r>
          </w:p>
        </w:tc>
      </w:tr>
      <w:tr>
        <w:tblPrEx>
          <w:tblCellMar>
            <w:top w:w="0" w:type="dxa"/>
            <w:left w:w="108" w:type="dxa"/>
            <w:bottom w:w="0" w:type="dxa"/>
            <w:right w:w="108" w:type="dxa"/>
          </w:tblCellMar>
        </w:tblPrEx>
        <w:trPr>
          <w:trHeight w:val="285" w:hRule="atLeast"/>
        </w:trPr>
        <w:tc>
          <w:tcPr>
            <w:tcW w:w="594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项目负责人：</w:t>
            </w:r>
          </w:p>
        </w:tc>
        <w:tc>
          <w:tcPr>
            <w:tcW w:w="3983" w:type="dxa"/>
            <w:gridSpan w:val="8"/>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财务负责人：</w:t>
            </w:r>
          </w:p>
        </w:tc>
      </w:tr>
    </w:tbl>
    <w:p>
      <w:pPr>
        <w:pStyle w:val="2"/>
        <w:spacing w:before="319"/>
        <w:ind w:left="0" w:firstLine="0"/>
      </w:pPr>
      <w:r>
        <w:rPr>
          <w:rFonts w:hint="eastAsia"/>
        </w:rPr>
        <w:t>附件6</w:t>
      </w:r>
    </w:p>
    <w:tbl>
      <w:tblPr>
        <w:tblStyle w:val="13"/>
        <w:tblW w:w="9923" w:type="dxa"/>
        <w:tblInd w:w="-601" w:type="dxa"/>
        <w:tblLayout w:type="fixed"/>
        <w:tblCellMar>
          <w:top w:w="0" w:type="dxa"/>
          <w:left w:w="108" w:type="dxa"/>
          <w:bottom w:w="0" w:type="dxa"/>
          <w:right w:w="108" w:type="dxa"/>
        </w:tblCellMar>
      </w:tblPr>
      <w:tblGrid>
        <w:gridCol w:w="567"/>
        <w:gridCol w:w="684"/>
        <w:gridCol w:w="309"/>
        <w:gridCol w:w="992"/>
        <w:gridCol w:w="1425"/>
        <w:gridCol w:w="692"/>
        <w:gridCol w:w="576"/>
        <w:gridCol w:w="709"/>
        <w:gridCol w:w="691"/>
        <w:gridCol w:w="868"/>
        <w:gridCol w:w="709"/>
        <w:gridCol w:w="709"/>
        <w:gridCol w:w="992"/>
      </w:tblGrid>
      <w:tr>
        <w:tblPrEx>
          <w:tblCellMar>
            <w:top w:w="0" w:type="dxa"/>
            <w:left w:w="108" w:type="dxa"/>
            <w:bottom w:w="0" w:type="dxa"/>
            <w:right w:w="108" w:type="dxa"/>
          </w:tblCellMar>
        </w:tblPrEx>
        <w:trPr>
          <w:trHeight w:val="903" w:hRule="atLeast"/>
        </w:trPr>
        <w:tc>
          <w:tcPr>
            <w:tcW w:w="9923"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15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8363"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51080021Y000000176770-其他公用经费（福利、工会、公车补贴、党建、退休活动）</w:t>
            </w:r>
          </w:p>
        </w:tc>
      </w:tr>
      <w:tr>
        <w:tblPrEx>
          <w:tblCellMar>
            <w:top w:w="0" w:type="dxa"/>
            <w:left w:w="108" w:type="dxa"/>
            <w:bottom w:w="0" w:type="dxa"/>
            <w:right w:w="108" w:type="dxa"/>
          </w:tblCellMar>
        </w:tblPrEx>
        <w:trPr>
          <w:trHeight w:val="514" w:hRule="atLeast"/>
        </w:trPr>
        <w:tc>
          <w:tcPr>
            <w:tcW w:w="15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3685"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中国共产党广元市委员会宣传部部门</w:t>
            </w:r>
          </w:p>
        </w:tc>
        <w:tc>
          <w:tcPr>
            <w:tcW w:w="1400" w:type="dxa"/>
            <w:gridSpan w:val="2"/>
            <w:tcBorders>
              <w:top w:val="nil"/>
              <w:left w:val="nil"/>
              <w:bottom w:val="nil"/>
              <w:right w:val="nil"/>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 xml:space="preserve">实施单位 </w:t>
            </w:r>
          </w:p>
        </w:tc>
        <w:tc>
          <w:tcPr>
            <w:tcW w:w="32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广元市作家协会</w:t>
            </w:r>
          </w:p>
        </w:tc>
      </w:tr>
      <w:tr>
        <w:tblPrEx>
          <w:tblCellMar>
            <w:top w:w="0" w:type="dxa"/>
            <w:left w:w="108" w:type="dxa"/>
            <w:bottom w:w="0" w:type="dxa"/>
            <w:right w:w="108" w:type="dxa"/>
          </w:tblCellMar>
        </w:tblPrEx>
        <w:trPr>
          <w:trHeight w:val="285" w:hRule="atLeast"/>
        </w:trPr>
        <w:tc>
          <w:tcPr>
            <w:tcW w:w="567"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993" w:type="dxa"/>
            <w:gridSpan w:val="2"/>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3685"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4678"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r>
      <w:tr>
        <w:tblPrEx>
          <w:tblCellMar>
            <w:top w:w="0" w:type="dxa"/>
            <w:left w:w="108" w:type="dxa"/>
            <w:bottom w:w="0" w:type="dxa"/>
            <w:right w:w="108" w:type="dxa"/>
          </w:tblCellMar>
        </w:tblPrEx>
        <w:trPr>
          <w:trHeight w:val="709" w:hRule="atLeast"/>
        </w:trPr>
        <w:tc>
          <w:tcPr>
            <w:tcW w:w="567"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993" w:type="dxa"/>
            <w:gridSpan w:val="2"/>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3685"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rPr>
                <w:rFonts w:hint="eastAsia" w:ascii="宋体" w:hAnsi="宋体" w:eastAsia="宋体" w:cs="宋体"/>
                <w:color w:val="000000"/>
                <w:kern w:val="0"/>
                <w:sz w:val="18"/>
                <w:szCs w:val="18"/>
                <w:lang w:eastAsia="zh-CN"/>
              </w:rPr>
            </w:pPr>
            <w:r>
              <w:rPr>
                <w:rFonts w:hint="eastAsia" w:ascii="宋体" w:hAnsi="宋体" w:cs="宋体"/>
                <w:color w:val="000000"/>
                <w:kern w:val="0"/>
                <w:sz w:val="18"/>
                <w:szCs w:val="18"/>
              </w:rPr>
              <w:t>提高预算编制质量，严格执行预算，保障单位日常运转</w:t>
            </w:r>
            <w:r>
              <w:rPr>
                <w:rFonts w:hint="eastAsia" w:ascii="宋体" w:hAnsi="宋体" w:cs="宋体"/>
                <w:color w:val="000000"/>
                <w:kern w:val="0"/>
                <w:sz w:val="18"/>
                <w:szCs w:val="18"/>
                <w:lang w:eastAsia="zh-CN"/>
              </w:rPr>
              <w:t>。</w:t>
            </w:r>
          </w:p>
        </w:tc>
        <w:tc>
          <w:tcPr>
            <w:tcW w:w="4678"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left"/>
              <w:rPr>
                <w:rFonts w:hint="eastAsia" w:ascii="Courier New" w:hAnsi="Courier New" w:eastAsia="宋体" w:cs="Courier New"/>
                <w:color w:val="000000"/>
                <w:kern w:val="0"/>
                <w:sz w:val="18"/>
                <w:szCs w:val="18"/>
                <w:lang w:eastAsia="zh-CN"/>
              </w:rPr>
            </w:pPr>
            <w:r>
              <w:rPr>
                <w:rFonts w:hint="eastAsia" w:ascii="宋体" w:hAnsi="宋体" w:cs="宋体"/>
                <w:color w:val="000000"/>
                <w:kern w:val="0"/>
                <w:sz w:val="18"/>
                <w:szCs w:val="18"/>
              </w:rPr>
              <w:t>严格执行预算，保障单位日常运转</w:t>
            </w:r>
            <w:r>
              <w:rPr>
                <w:rFonts w:hint="eastAsia" w:ascii="宋体" w:hAnsi="宋体" w:cs="宋体"/>
                <w:color w:val="000000"/>
                <w:kern w:val="0"/>
                <w:sz w:val="18"/>
                <w:szCs w:val="18"/>
                <w:lang w:eastAsia="zh-CN"/>
              </w:rPr>
              <w:t>。</w:t>
            </w:r>
          </w:p>
        </w:tc>
      </w:tr>
      <w:tr>
        <w:tblPrEx>
          <w:tblCellMar>
            <w:top w:w="0" w:type="dxa"/>
            <w:left w:w="108" w:type="dxa"/>
            <w:bottom w:w="0" w:type="dxa"/>
            <w:right w:w="108" w:type="dxa"/>
          </w:tblCellMar>
        </w:tblPrEx>
        <w:trPr>
          <w:trHeight w:val="694" w:hRule="atLeast"/>
        </w:trPr>
        <w:tc>
          <w:tcPr>
            <w:tcW w:w="567"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993" w:type="dxa"/>
            <w:gridSpan w:val="2"/>
            <w:tcBorders>
              <w:top w:val="nil"/>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8363"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hint="eastAsia" w:ascii="Courier New" w:hAnsi="Courier New" w:eastAsia="宋体" w:cs="Courier New"/>
                <w:color w:val="000000"/>
                <w:kern w:val="0"/>
                <w:sz w:val="18"/>
                <w:szCs w:val="18"/>
                <w:lang w:eastAsia="zh-CN"/>
              </w:rPr>
            </w:pPr>
            <w:r>
              <w:rPr>
                <w:rFonts w:hint="eastAsia" w:ascii="宋体" w:hAnsi="宋体" w:cs="宋体"/>
                <w:color w:val="000000"/>
                <w:kern w:val="0"/>
                <w:sz w:val="18"/>
                <w:szCs w:val="18"/>
              </w:rPr>
              <w:t>严格执行预算，保障单位日常运转</w:t>
            </w:r>
            <w:r>
              <w:rPr>
                <w:rFonts w:hint="eastAsia" w:ascii="宋体" w:hAnsi="宋体" w:cs="宋体"/>
                <w:color w:val="000000"/>
                <w:kern w:val="0"/>
                <w:sz w:val="18"/>
                <w:szCs w:val="18"/>
                <w:lang w:eastAsia="zh-CN"/>
              </w:rPr>
              <w:t>。</w:t>
            </w:r>
          </w:p>
        </w:tc>
      </w:tr>
      <w:tr>
        <w:tblPrEx>
          <w:tblCellMar>
            <w:top w:w="0" w:type="dxa"/>
            <w:left w:w="108" w:type="dxa"/>
            <w:bottom w:w="0" w:type="dxa"/>
            <w:right w:w="108" w:type="dxa"/>
          </w:tblCellMar>
        </w:tblPrEx>
        <w:trPr>
          <w:trHeight w:val="360" w:hRule="atLeast"/>
        </w:trPr>
        <w:tc>
          <w:tcPr>
            <w:tcW w:w="567"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993"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992"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2117"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1976"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86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992"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567"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993"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992"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8.07</w:t>
            </w:r>
          </w:p>
        </w:tc>
        <w:tc>
          <w:tcPr>
            <w:tcW w:w="2117"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8.07</w:t>
            </w:r>
          </w:p>
        </w:tc>
        <w:tc>
          <w:tcPr>
            <w:tcW w:w="1976"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8.07</w:t>
            </w:r>
          </w:p>
        </w:tc>
        <w:tc>
          <w:tcPr>
            <w:tcW w:w="86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10</w:t>
            </w:r>
          </w:p>
        </w:tc>
        <w:tc>
          <w:tcPr>
            <w:tcW w:w="992"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90" w:hRule="atLeast"/>
        </w:trPr>
        <w:tc>
          <w:tcPr>
            <w:tcW w:w="567"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993"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992"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8.07</w:t>
            </w:r>
          </w:p>
        </w:tc>
        <w:tc>
          <w:tcPr>
            <w:tcW w:w="2117"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8.07</w:t>
            </w:r>
          </w:p>
        </w:tc>
        <w:tc>
          <w:tcPr>
            <w:tcW w:w="1976"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8.07</w:t>
            </w:r>
          </w:p>
        </w:tc>
        <w:tc>
          <w:tcPr>
            <w:tcW w:w="86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92"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409" w:hRule="atLeast"/>
        </w:trPr>
        <w:tc>
          <w:tcPr>
            <w:tcW w:w="567"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993"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992"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17"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976"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86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92"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567"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993"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992"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17"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976"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86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92"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38" w:hRule="atLeast"/>
        </w:trPr>
        <w:tc>
          <w:tcPr>
            <w:tcW w:w="567"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993"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992"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117"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976"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868"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92"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454" w:hRule="atLeast"/>
        </w:trPr>
        <w:tc>
          <w:tcPr>
            <w:tcW w:w="567"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993"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992"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2117"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69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86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992"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8" w:hRule="atLeast"/>
        </w:trPr>
        <w:tc>
          <w:tcPr>
            <w:tcW w:w="567"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993" w:type="dxa"/>
            <w:gridSpan w:val="2"/>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992"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2117"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科目调整次数</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69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次</w:t>
            </w:r>
          </w:p>
        </w:tc>
        <w:tc>
          <w:tcPr>
            <w:tcW w:w="868"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　</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19</w:t>
            </w:r>
          </w:p>
        </w:tc>
        <w:tc>
          <w:tcPr>
            <w:tcW w:w="992"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679" w:hRule="atLeast"/>
        </w:trPr>
        <w:tc>
          <w:tcPr>
            <w:tcW w:w="567"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993" w:type="dxa"/>
            <w:gridSpan w:val="2"/>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992"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2117"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预算编制准确率（计算方法为：∣（执行数-预算数）/预算数∣）</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69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68"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1</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29</w:t>
            </w:r>
          </w:p>
        </w:tc>
        <w:tc>
          <w:tcPr>
            <w:tcW w:w="992"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1163" w:hRule="atLeast"/>
        </w:trPr>
        <w:tc>
          <w:tcPr>
            <w:tcW w:w="567"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993" w:type="dxa"/>
            <w:gridSpan w:val="2"/>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992"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经济效益指标</w:t>
            </w:r>
          </w:p>
        </w:tc>
        <w:tc>
          <w:tcPr>
            <w:tcW w:w="2117"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“三公经费”控制率[计算方法为：（三公经费实际支出数/预算安排数]×100%）</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69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68"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100　</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　</w:t>
            </w:r>
          </w:p>
        </w:tc>
        <w:tc>
          <w:tcPr>
            <w:tcW w:w="992"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567"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993" w:type="dxa"/>
            <w:gridSpan w:val="2"/>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992"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2117"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运转保障率</w:t>
            </w:r>
          </w:p>
        </w:tc>
        <w:tc>
          <w:tcPr>
            <w:tcW w:w="5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69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68"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100　</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　</w:t>
            </w:r>
          </w:p>
        </w:tc>
        <w:tc>
          <w:tcPr>
            <w:tcW w:w="992"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285" w:hRule="atLeast"/>
        </w:trPr>
        <w:tc>
          <w:tcPr>
            <w:tcW w:w="7513"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09"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98</w:t>
            </w:r>
          </w:p>
        </w:tc>
        <w:tc>
          <w:tcPr>
            <w:tcW w:w="992"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604" w:hRule="atLeast"/>
        </w:trPr>
        <w:tc>
          <w:tcPr>
            <w:tcW w:w="1251" w:type="dxa"/>
            <w:gridSpan w:val="2"/>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8672" w:type="dxa"/>
            <w:gridSpan w:val="11"/>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val="0"/>
                <w:iCs w:val="0"/>
                <w:color w:val="000000"/>
                <w:kern w:val="0"/>
                <w:sz w:val="16"/>
                <w:szCs w:val="16"/>
              </w:rPr>
              <w:t>结合自评情况，该项目自评总分98分，</w:t>
            </w:r>
            <w:r>
              <w:rPr>
                <w:rFonts w:hint="eastAsia" w:ascii="宋体" w:hAnsi="宋体" w:cs="宋体"/>
                <w:i w:val="0"/>
                <w:iCs w:val="0"/>
                <w:color w:val="000000"/>
                <w:kern w:val="0"/>
                <w:sz w:val="18"/>
                <w:szCs w:val="18"/>
              </w:rPr>
              <w:t>　</w:t>
            </w:r>
            <w:r>
              <w:rPr>
                <w:rFonts w:ascii="宋体" w:hAnsi="宋体" w:cs="宋体"/>
                <w:i w:val="0"/>
                <w:iCs w:val="0"/>
                <w:color w:val="000000"/>
                <w:kern w:val="0"/>
                <w:sz w:val="18"/>
                <w:szCs w:val="18"/>
              </w:rPr>
              <w:t>严格按照财政资金使用有关规定，按照既定目标推进工作，保障单位高效运转。</w:t>
            </w:r>
          </w:p>
        </w:tc>
      </w:tr>
      <w:tr>
        <w:tblPrEx>
          <w:tblCellMar>
            <w:top w:w="0" w:type="dxa"/>
            <w:left w:w="108" w:type="dxa"/>
            <w:bottom w:w="0" w:type="dxa"/>
            <w:right w:w="108" w:type="dxa"/>
          </w:tblCellMar>
        </w:tblPrEx>
        <w:trPr>
          <w:trHeight w:val="574" w:hRule="atLeast"/>
        </w:trPr>
        <w:tc>
          <w:tcPr>
            <w:tcW w:w="1251" w:type="dxa"/>
            <w:gridSpan w:val="2"/>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8672" w:type="dxa"/>
            <w:gridSpan w:val="11"/>
            <w:tcBorders>
              <w:top w:val="single" w:color="000000" w:sz="4" w:space="0"/>
              <w:left w:val="nil"/>
              <w:bottom w:val="single" w:color="000000" w:sz="4" w:space="0"/>
              <w:right w:val="single" w:color="000000" w:sz="4" w:space="0"/>
            </w:tcBorders>
            <w:shd w:val="clear" w:color="auto" w:fill="auto"/>
            <w:vAlign w:val="center"/>
          </w:tcPr>
          <w:p>
            <w:pPr>
              <w:widowControl/>
              <w:jc w:val="left"/>
              <w:rPr>
                <w:rFonts w:hint="eastAsia" w:ascii="微软雅黑" w:hAnsi="微软雅黑" w:eastAsia="微软雅黑" w:cs="宋体"/>
                <w:iCs/>
                <w:color w:val="000000"/>
                <w:kern w:val="0"/>
                <w:sz w:val="16"/>
                <w:szCs w:val="16"/>
                <w:lang w:eastAsia="zh-CN"/>
              </w:rPr>
            </w:pPr>
            <w:r>
              <w:rPr>
                <w:rFonts w:hint="eastAsia" w:ascii="微软雅黑" w:hAnsi="微软雅黑" w:eastAsia="微软雅黑" w:cs="宋体"/>
                <w:iCs/>
                <w:color w:val="000000"/>
                <w:kern w:val="0"/>
                <w:sz w:val="16"/>
                <w:szCs w:val="16"/>
              </w:rPr>
              <w:t>经济科目有少许变更</w:t>
            </w:r>
            <w:r>
              <w:rPr>
                <w:rFonts w:hint="eastAsia" w:ascii="微软雅黑" w:hAnsi="微软雅黑" w:eastAsia="微软雅黑" w:cs="宋体"/>
                <w:iCs/>
                <w:color w:val="000000"/>
                <w:kern w:val="0"/>
                <w:sz w:val="16"/>
                <w:szCs w:val="16"/>
                <w:lang w:eastAsia="zh-CN"/>
              </w:rPr>
              <w:t>。</w:t>
            </w:r>
          </w:p>
        </w:tc>
      </w:tr>
      <w:tr>
        <w:tblPrEx>
          <w:tblCellMar>
            <w:top w:w="0" w:type="dxa"/>
            <w:left w:w="108" w:type="dxa"/>
            <w:bottom w:w="0" w:type="dxa"/>
            <w:right w:w="108" w:type="dxa"/>
          </w:tblCellMar>
        </w:tblPrEx>
        <w:trPr>
          <w:trHeight w:val="532" w:hRule="atLeast"/>
        </w:trPr>
        <w:tc>
          <w:tcPr>
            <w:tcW w:w="1251" w:type="dxa"/>
            <w:gridSpan w:val="2"/>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8672" w:type="dxa"/>
            <w:gridSpan w:val="11"/>
            <w:tcBorders>
              <w:top w:val="single" w:color="000000" w:sz="4" w:space="0"/>
              <w:left w:val="nil"/>
              <w:bottom w:val="single" w:color="000000" w:sz="4" w:space="0"/>
              <w:right w:val="single" w:color="000000" w:sz="4" w:space="0"/>
            </w:tcBorders>
            <w:shd w:val="clear" w:color="auto" w:fill="auto"/>
            <w:vAlign w:val="center"/>
          </w:tcPr>
          <w:p>
            <w:pPr>
              <w:widowControl/>
              <w:jc w:val="left"/>
              <w:rPr>
                <w:rFonts w:hint="eastAsia" w:ascii="微软雅黑" w:hAnsi="微软雅黑" w:eastAsia="宋体" w:cs="宋体"/>
                <w:i/>
                <w:iCs/>
                <w:color w:val="000000"/>
                <w:kern w:val="0"/>
                <w:sz w:val="16"/>
                <w:szCs w:val="16"/>
                <w:lang w:eastAsia="zh-CN"/>
              </w:rPr>
            </w:pPr>
            <w:r>
              <w:rPr>
                <w:rFonts w:hint="eastAsia" w:ascii="宋体" w:hAnsi="宋体" w:cs="宋体"/>
                <w:color w:val="000000"/>
                <w:kern w:val="0"/>
                <w:sz w:val="18"/>
                <w:szCs w:val="18"/>
              </w:rPr>
              <w:t>提高预算编制质量，严格执行预算</w:t>
            </w:r>
            <w:r>
              <w:rPr>
                <w:rFonts w:hint="eastAsia" w:ascii="宋体" w:hAnsi="宋体" w:cs="宋体"/>
                <w:color w:val="000000"/>
                <w:kern w:val="0"/>
                <w:sz w:val="18"/>
                <w:szCs w:val="18"/>
                <w:lang w:eastAsia="zh-CN"/>
              </w:rPr>
              <w:t>。</w:t>
            </w:r>
          </w:p>
        </w:tc>
      </w:tr>
      <w:tr>
        <w:tblPrEx>
          <w:tblCellMar>
            <w:top w:w="0" w:type="dxa"/>
            <w:left w:w="108" w:type="dxa"/>
            <w:bottom w:w="0" w:type="dxa"/>
            <w:right w:w="108" w:type="dxa"/>
          </w:tblCellMar>
        </w:tblPrEx>
        <w:trPr>
          <w:trHeight w:val="285" w:hRule="atLeast"/>
        </w:trPr>
        <w:tc>
          <w:tcPr>
            <w:tcW w:w="397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项目负责人：</w:t>
            </w:r>
          </w:p>
        </w:tc>
        <w:tc>
          <w:tcPr>
            <w:tcW w:w="5946" w:type="dxa"/>
            <w:gridSpan w:val="8"/>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财务负责人：</w:t>
            </w:r>
          </w:p>
        </w:tc>
      </w:tr>
    </w:tbl>
    <w:p>
      <w:pPr>
        <w:pStyle w:val="2"/>
        <w:spacing w:before="319"/>
        <w:ind w:left="0" w:firstLine="0"/>
      </w:pPr>
      <w:r>
        <w:rPr>
          <w:rFonts w:hint="eastAsia"/>
        </w:rPr>
        <w:t>附件7</w:t>
      </w:r>
    </w:p>
    <w:tbl>
      <w:tblPr>
        <w:tblStyle w:val="13"/>
        <w:tblW w:w="9923" w:type="dxa"/>
        <w:tblInd w:w="-743" w:type="dxa"/>
        <w:tblLayout w:type="fixed"/>
        <w:tblCellMar>
          <w:top w:w="0" w:type="dxa"/>
          <w:left w:w="108" w:type="dxa"/>
          <w:bottom w:w="0" w:type="dxa"/>
          <w:right w:w="108" w:type="dxa"/>
        </w:tblCellMar>
      </w:tblPr>
      <w:tblGrid>
        <w:gridCol w:w="709"/>
        <w:gridCol w:w="708"/>
        <w:gridCol w:w="994"/>
        <w:gridCol w:w="1134"/>
        <w:gridCol w:w="1908"/>
        <w:gridCol w:w="643"/>
        <w:gridCol w:w="709"/>
        <w:gridCol w:w="567"/>
        <w:gridCol w:w="142"/>
        <w:gridCol w:w="583"/>
        <w:gridCol w:w="486"/>
        <w:gridCol w:w="396"/>
        <w:gridCol w:w="944"/>
      </w:tblGrid>
      <w:tr>
        <w:tblPrEx>
          <w:tblCellMar>
            <w:top w:w="0" w:type="dxa"/>
            <w:left w:w="108" w:type="dxa"/>
            <w:bottom w:w="0" w:type="dxa"/>
            <w:right w:w="108" w:type="dxa"/>
          </w:tblCellMar>
        </w:tblPrEx>
        <w:trPr>
          <w:trHeight w:val="779" w:hRule="atLeast"/>
        </w:trPr>
        <w:tc>
          <w:tcPr>
            <w:tcW w:w="9923"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241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7512"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51080022T000004933756-《剑门关》文学杂志等</w:t>
            </w:r>
          </w:p>
        </w:tc>
      </w:tr>
      <w:tr>
        <w:tblPrEx>
          <w:tblCellMar>
            <w:top w:w="0" w:type="dxa"/>
            <w:left w:w="108" w:type="dxa"/>
            <w:bottom w:w="0" w:type="dxa"/>
            <w:right w:w="108" w:type="dxa"/>
          </w:tblCellMar>
        </w:tblPrEx>
        <w:trPr>
          <w:trHeight w:val="355" w:hRule="atLeast"/>
        </w:trPr>
        <w:tc>
          <w:tcPr>
            <w:tcW w:w="241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3685"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中国共产党广元市委员会宣传部部门</w:t>
            </w:r>
          </w:p>
        </w:tc>
        <w:tc>
          <w:tcPr>
            <w:tcW w:w="1276" w:type="dxa"/>
            <w:gridSpan w:val="2"/>
            <w:tcBorders>
              <w:top w:val="nil"/>
              <w:left w:val="nil"/>
              <w:bottom w:val="nil"/>
              <w:right w:val="nil"/>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 xml:space="preserve">实施单位 </w:t>
            </w:r>
          </w:p>
        </w:tc>
        <w:tc>
          <w:tcPr>
            <w:tcW w:w="255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广元市作家协会</w:t>
            </w:r>
          </w:p>
        </w:tc>
      </w:tr>
      <w:tr>
        <w:tblPrEx>
          <w:tblCellMar>
            <w:top w:w="0" w:type="dxa"/>
            <w:left w:w="108" w:type="dxa"/>
            <w:bottom w:w="0" w:type="dxa"/>
            <w:right w:w="108" w:type="dxa"/>
          </w:tblCellMar>
        </w:tblPrEx>
        <w:trPr>
          <w:trHeight w:val="285" w:hRule="atLeast"/>
        </w:trPr>
        <w:tc>
          <w:tcPr>
            <w:tcW w:w="70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1702" w:type="dxa"/>
            <w:gridSpan w:val="2"/>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3685"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3827" w:type="dxa"/>
            <w:gridSpan w:val="7"/>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r>
      <w:tr>
        <w:tblPrEx>
          <w:tblCellMar>
            <w:top w:w="0" w:type="dxa"/>
            <w:left w:w="108" w:type="dxa"/>
            <w:bottom w:w="0" w:type="dxa"/>
            <w:right w:w="108" w:type="dxa"/>
          </w:tblCellMar>
        </w:tblPrEx>
        <w:trPr>
          <w:trHeight w:val="709" w:hRule="atLeast"/>
        </w:trPr>
        <w:tc>
          <w:tcPr>
            <w:tcW w:w="709"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702" w:type="dxa"/>
            <w:gridSpan w:val="2"/>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3685"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出版《剑门关》4期，引导广大作家、文学爱好者的正确创作导向，以文学方式宣传展示广元经济社会发展情况，团结广大作家与文学爱好者，培育文学新人。</w:t>
            </w:r>
          </w:p>
        </w:tc>
        <w:tc>
          <w:tcPr>
            <w:tcW w:w="3827" w:type="dxa"/>
            <w:gridSpan w:val="7"/>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hint="eastAsia" w:ascii="Courier New" w:hAnsi="Courier New" w:cs="Courier New"/>
                <w:color w:val="000000"/>
                <w:kern w:val="0"/>
                <w:sz w:val="18"/>
                <w:szCs w:val="18"/>
              </w:rPr>
              <w:t>出版《剑门关》，引导广大作家、文学爱好者的正确创作导向，以文学方式宣传展示广元经济社会发展情况，团结广大作家与文学爱好者，培育文学新人。</w:t>
            </w:r>
          </w:p>
        </w:tc>
      </w:tr>
      <w:tr>
        <w:tblPrEx>
          <w:tblCellMar>
            <w:top w:w="0" w:type="dxa"/>
            <w:left w:w="108" w:type="dxa"/>
            <w:bottom w:w="0" w:type="dxa"/>
            <w:right w:w="108" w:type="dxa"/>
          </w:tblCellMar>
        </w:tblPrEx>
        <w:trPr>
          <w:trHeight w:val="694" w:hRule="atLeast"/>
        </w:trPr>
        <w:tc>
          <w:tcPr>
            <w:tcW w:w="709"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702" w:type="dxa"/>
            <w:gridSpan w:val="2"/>
            <w:tcBorders>
              <w:top w:val="nil"/>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7512"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加强文学阵地建设。做好文学编辑工作，推动文学创作。编辑出版《剑门关》，严把了刊物质量关，杜绝了政治问题和较大技术性错误。持续办好广元文学微信公众号新媒体，加强文学交流展示和对外宣传。</w:t>
            </w:r>
          </w:p>
        </w:tc>
      </w:tr>
      <w:tr>
        <w:tblPrEx>
          <w:tblCellMar>
            <w:top w:w="0" w:type="dxa"/>
            <w:left w:w="108" w:type="dxa"/>
            <w:bottom w:w="0" w:type="dxa"/>
            <w:right w:w="108" w:type="dxa"/>
          </w:tblCellMar>
        </w:tblPrEx>
        <w:trPr>
          <w:trHeight w:val="360" w:hRule="atLeast"/>
        </w:trPr>
        <w:tc>
          <w:tcPr>
            <w:tcW w:w="70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1702"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13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190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061"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58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94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709"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702"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13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6.44</w:t>
            </w:r>
          </w:p>
        </w:tc>
        <w:tc>
          <w:tcPr>
            <w:tcW w:w="190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6.44</w:t>
            </w:r>
          </w:p>
        </w:tc>
        <w:tc>
          <w:tcPr>
            <w:tcW w:w="2061"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6.44</w:t>
            </w:r>
          </w:p>
        </w:tc>
        <w:tc>
          <w:tcPr>
            <w:tcW w:w="58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　</w:t>
            </w:r>
          </w:p>
        </w:tc>
        <w:tc>
          <w:tcPr>
            <w:tcW w:w="944"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90" w:hRule="atLeast"/>
        </w:trPr>
        <w:tc>
          <w:tcPr>
            <w:tcW w:w="709"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702"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13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6.44</w:t>
            </w:r>
          </w:p>
        </w:tc>
        <w:tc>
          <w:tcPr>
            <w:tcW w:w="190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6.44</w:t>
            </w:r>
          </w:p>
        </w:tc>
        <w:tc>
          <w:tcPr>
            <w:tcW w:w="2061"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6.44</w:t>
            </w:r>
          </w:p>
        </w:tc>
        <w:tc>
          <w:tcPr>
            <w:tcW w:w="58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44"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409" w:hRule="atLeast"/>
        </w:trPr>
        <w:tc>
          <w:tcPr>
            <w:tcW w:w="709"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702"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13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90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061"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8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44"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709"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702"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13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90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061"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8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44"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38" w:hRule="atLeast"/>
        </w:trPr>
        <w:tc>
          <w:tcPr>
            <w:tcW w:w="709"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702"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134"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908"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061"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83"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44"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454" w:hRule="atLeast"/>
        </w:trPr>
        <w:tc>
          <w:tcPr>
            <w:tcW w:w="70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1702"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13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190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64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09"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58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94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8" w:hRule="atLeast"/>
        </w:trPr>
        <w:tc>
          <w:tcPr>
            <w:tcW w:w="709"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702" w:type="dxa"/>
            <w:gridSpan w:val="2"/>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13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190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出版《剑门关》</w:t>
            </w:r>
          </w:p>
        </w:tc>
        <w:tc>
          <w:tcPr>
            <w:tcW w:w="64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709"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期</w:t>
            </w:r>
          </w:p>
        </w:tc>
        <w:tc>
          <w:tcPr>
            <w:tcW w:w="583"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i/>
                <w:iCs/>
                <w:color w:val="000000"/>
                <w:sz w:val="16"/>
                <w:szCs w:val="16"/>
              </w:rPr>
              <w:t>4</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396"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color w:val="000000"/>
                <w:sz w:val="18"/>
                <w:szCs w:val="18"/>
              </w:rPr>
              <w:t>20</w:t>
            </w:r>
          </w:p>
        </w:tc>
        <w:tc>
          <w:tcPr>
            <w:tcW w:w="944"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9"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702" w:type="dxa"/>
            <w:gridSpan w:val="2"/>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13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190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出版印刷质量</w:t>
            </w:r>
          </w:p>
        </w:tc>
        <w:tc>
          <w:tcPr>
            <w:tcW w:w="64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709"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83"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i/>
                <w:iCs/>
                <w:color w:val="000000"/>
                <w:sz w:val="16"/>
                <w:szCs w:val="16"/>
              </w:rPr>
              <w:t>优</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396"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color w:val="000000"/>
                <w:sz w:val="18"/>
                <w:szCs w:val="18"/>
              </w:rPr>
              <w:t>10</w:t>
            </w:r>
          </w:p>
        </w:tc>
        <w:tc>
          <w:tcPr>
            <w:tcW w:w="944"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9"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702" w:type="dxa"/>
            <w:gridSpan w:val="2"/>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13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时效指标</w:t>
            </w:r>
          </w:p>
        </w:tc>
        <w:tc>
          <w:tcPr>
            <w:tcW w:w="190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完成时间</w:t>
            </w:r>
          </w:p>
        </w:tc>
        <w:tc>
          <w:tcPr>
            <w:tcW w:w="64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12</w:t>
            </w:r>
          </w:p>
        </w:tc>
        <w:tc>
          <w:tcPr>
            <w:tcW w:w="709"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月</w:t>
            </w:r>
          </w:p>
        </w:tc>
        <w:tc>
          <w:tcPr>
            <w:tcW w:w="583"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i/>
                <w:iCs/>
                <w:color w:val="000000"/>
                <w:sz w:val="16"/>
                <w:szCs w:val="16"/>
              </w:rPr>
              <w:t>12</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396"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color w:val="000000"/>
                <w:sz w:val="18"/>
                <w:szCs w:val="18"/>
              </w:rPr>
              <w:t>10</w:t>
            </w:r>
          </w:p>
        </w:tc>
        <w:tc>
          <w:tcPr>
            <w:tcW w:w="944"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9"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702"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13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190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提升广元文化软实力</w:t>
            </w:r>
          </w:p>
        </w:tc>
        <w:tc>
          <w:tcPr>
            <w:tcW w:w="64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进一步提升</w:t>
            </w:r>
          </w:p>
        </w:tc>
        <w:tc>
          <w:tcPr>
            <w:tcW w:w="709"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83"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i/>
                <w:iCs/>
                <w:color w:val="000000"/>
                <w:sz w:val="16"/>
                <w:szCs w:val="16"/>
              </w:rPr>
              <w:t>进一步提升</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396"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color w:val="000000"/>
                <w:sz w:val="18"/>
                <w:szCs w:val="18"/>
              </w:rPr>
              <w:t>8</w:t>
            </w:r>
          </w:p>
        </w:tc>
        <w:tc>
          <w:tcPr>
            <w:tcW w:w="944"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9"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702"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113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190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读者满意度</w:t>
            </w:r>
          </w:p>
        </w:tc>
        <w:tc>
          <w:tcPr>
            <w:tcW w:w="64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90</w:t>
            </w:r>
          </w:p>
        </w:tc>
        <w:tc>
          <w:tcPr>
            <w:tcW w:w="709"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83"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i/>
                <w:iCs/>
                <w:color w:val="000000"/>
                <w:sz w:val="16"/>
                <w:szCs w:val="16"/>
              </w:rPr>
              <w:t>95%</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396"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color w:val="000000"/>
                <w:sz w:val="18"/>
                <w:szCs w:val="18"/>
              </w:rPr>
              <w:t>9</w:t>
            </w:r>
          </w:p>
        </w:tc>
        <w:tc>
          <w:tcPr>
            <w:tcW w:w="944"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454" w:hRule="atLeast"/>
        </w:trPr>
        <w:tc>
          <w:tcPr>
            <w:tcW w:w="709"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702"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成本指标</w:t>
            </w:r>
          </w:p>
        </w:tc>
        <w:tc>
          <w:tcPr>
            <w:tcW w:w="113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经济成本指标</w:t>
            </w:r>
          </w:p>
        </w:tc>
        <w:tc>
          <w:tcPr>
            <w:tcW w:w="190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工作经费</w:t>
            </w:r>
          </w:p>
        </w:tc>
        <w:tc>
          <w:tcPr>
            <w:tcW w:w="64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0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64000</w:t>
            </w:r>
          </w:p>
        </w:tc>
        <w:tc>
          <w:tcPr>
            <w:tcW w:w="709"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元/年</w:t>
            </w:r>
          </w:p>
        </w:tc>
        <w:tc>
          <w:tcPr>
            <w:tcW w:w="583"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i/>
                <w:iCs/>
                <w:color w:val="000000"/>
                <w:sz w:val="16"/>
                <w:szCs w:val="16"/>
              </w:rPr>
              <w:t>64400</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396"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color w:val="000000"/>
                <w:sz w:val="18"/>
                <w:szCs w:val="18"/>
              </w:rPr>
              <w:t>19</w:t>
            </w:r>
          </w:p>
        </w:tc>
        <w:tc>
          <w:tcPr>
            <w:tcW w:w="944"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285" w:hRule="atLeast"/>
        </w:trPr>
        <w:tc>
          <w:tcPr>
            <w:tcW w:w="809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96</w:t>
            </w:r>
          </w:p>
        </w:tc>
        <w:tc>
          <w:tcPr>
            <w:tcW w:w="944"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604" w:hRule="atLeast"/>
        </w:trPr>
        <w:tc>
          <w:tcPr>
            <w:tcW w:w="1417" w:type="dxa"/>
            <w:gridSpan w:val="2"/>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8506" w:type="dxa"/>
            <w:gridSpan w:val="11"/>
            <w:tcBorders>
              <w:top w:val="single" w:color="000000" w:sz="4" w:space="0"/>
              <w:left w:val="nil"/>
              <w:bottom w:val="single" w:color="000000" w:sz="4" w:space="0"/>
              <w:right w:val="single" w:color="000000" w:sz="4" w:space="0"/>
            </w:tcBorders>
            <w:shd w:val="clear" w:color="auto" w:fill="auto"/>
            <w:vAlign w:val="center"/>
          </w:tcPr>
          <w:p>
            <w:pPr>
              <w:rPr>
                <w:rFonts w:ascii="宋体" w:hAnsi="宋体" w:cs="宋体"/>
                <w:color w:val="000000"/>
                <w:sz w:val="18"/>
                <w:szCs w:val="18"/>
              </w:rPr>
            </w:pPr>
            <w:r>
              <w:rPr>
                <w:rFonts w:hint="eastAsia"/>
                <w:color w:val="000000"/>
                <w:sz w:val="18"/>
                <w:szCs w:val="18"/>
              </w:rPr>
              <w:t>结合自评情况，该项目自评总分96分，加强文学阵地建设。做好文学编辑工作，推动文学创作。编辑出版《剑门关》杂志，严把了刊物质量关，杜绝了政治问题和较大技术性错误。持续办好广元文学微信公众号新媒体，加强文学交流展示和对外宣传。</w:t>
            </w:r>
          </w:p>
        </w:tc>
      </w:tr>
      <w:tr>
        <w:tblPrEx>
          <w:tblCellMar>
            <w:top w:w="0" w:type="dxa"/>
            <w:left w:w="108" w:type="dxa"/>
            <w:bottom w:w="0" w:type="dxa"/>
            <w:right w:w="108" w:type="dxa"/>
          </w:tblCellMar>
        </w:tblPrEx>
        <w:trPr>
          <w:trHeight w:val="523" w:hRule="atLeast"/>
        </w:trPr>
        <w:tc>
          <w:tcPr>
            <w:tcW w:w="1417" w:type="dxa"/>
            <w:gridSpan w:val="2"/>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8506" w:type="dxa"/>
            <w:gridSpan w:val="11"/>
            <w:tcBorders>
              <w:top w:val="single" w:color="000000" w:sz="4" w:space="0"/>
              <w:left w:val="nil"/>
              <w:bottom w:val="single" w:color="000000" w:sz="4" w:space="0"/>
              <w:right w:val="single" w:color="000000" w:sz="4" w:space="0"/>
            </w:tcBorders>
            <w:shd w:val="clear" w:color="auto" w:fill="auto"/>
            <w:vAlign w:val="center"/>
          </w:tcPr>
          <w:p>
            <w:pPr>
              <w:rPr>
                <w:rFonts w:ascii="宋体" w:hAnsi="宋体" w:cs="宋体"/>
                <w:color w:val="000000"/>
                <w:sz w:val="18"/>
                <w:szCs w:val="18"/>
              </w:rPr>
            </w:pPr>
            <w:r>
              <w:rPr>
                <w:rFonts w:hint="eastAsia"/>
                <w:color w:val="000000"/>
                <w:sz w:val="18"/>
                <w:szCs w:val="18"/>
              </w:rPr>
              <w:t>预算绩效管理工作中，还存在工作标准不高、不精细等问题。</w:t>
            </w:r>
          </w:p>
        </w:tc>
      </w:tr>
      <w:tr>
        <w:tblPrEx>
          <w:tblCellMar>
            <w:top w:w="0" w:type="dxa"/>
            <w:left w:w="108" w:type="dxa"/>
            <w:bottom w:w="0" w:type="dxa"/>
            <w:right w:w="108" w:type="dxa"/>
          </w:tblCellMar>
        </w:tblPrEx>
        <w:trPr>
          <w:trHeight w:val="543" w:hRule="atLeast"/>
        </w:trPr>
        <w:tc>
          <w:tcPr>
            <w:tcW w:w="1417" w:type="dxa"/>
            <w:gridSpan w:val="2"/>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8506" w:type="dxa"/>
            <w:gridSpan w:val="11"/>
            <w:tcBorders>
              <w:top w:val="single" w:color="000000" w:sz="4" w:space="0"/>
              <w:left w:val="nil"/>
              <w:bottom w:val="single" w:color="000000" w:sz="4" w:space="0"/>
              <w:right w:val="single" w:color="000000" w:sz="4" w:space="0"/>
            </w:tcBorders>
            <w:shd w:val="clear" w:color="auto" w:fill="auto"/>
            <w:vAlign w:val="center"/>
          </w:tcPr>
          <w:p>
            <w:pPr>
              <w:rPr>
                <w:rFonts w:ascii="宋体" w:hAnsi="宋体" w:cs="宋体"/>
                <w:color w:val="000000"/>
                <w:sz w:val="18"/>
                <w:szCs w:val="18"/>
              </w:rPr>
            </w:pPr>
            <w:r>
              <w:rPr>
                <w:rFonts w:hint="eastAsia"/>
                <w:color w:val="000000"/>
                <w:sz w:val="18"/>
                <w:szCs w:val="18"/>
              </w:rPr>
              <w:t>加强预算绩效管理工作宣传，加强对预算单位绩效评价工作的培训和指导，</w:t>
            </w:r>
          </w:p>
        </w:tc>
      </w:tr>
      <w:tr>
        <w:tblPrEx>
          <w:tblCellMar>
            <w:top w:w="0" w:type="dxa"/>
            <w:left w:w="108" w:type="dxa"/>
            <w:bottom w:w="0" w:type="dxa"/>
            <w:right w:w="108" w:type="dxa"/>
          </w:tblCellMar>
        </w:tblPrEx>
        <w:trPr>
          <w:trHeight w:val="285" w:hRule="atLeast"/>
        </w:trPr>
        <w:tc>
          <w:tcPr>
            <w:tcW w:w="545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项目负责人：</w:t>
            </w:r>
          </w:p>
        </w:tc>
        <w:tc>
          <w:tcPr>
            <w:tcW w:w="4470" w:type="dxa"/>
            <w:gridSpan w:val="8"/>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财务负责人：</w:t>
            </w:r>
          </w:p>
        </w:tc>
      </w:tr>
    </w:tbl>
    <w:p>
      <w:pPr>
        <w:pStyle w:val="2"/>
        <w:spacing w:before="319"/>
        <w:ind w:left="0" w:firstLine="0"/>
      </w:pPr>
      <w:r>
        <w:rPr>
          <w:rFonts w:hint="eastAsia"/>
        </w:rPr>
        <w:t>附件8</w:t>
      </w:r>
    </w:p>
    <w:tbl>
      <w:tblPr>
        <w:tblStyle w:val="13"/>
        <w:tblW w:w="10207" w:type="dxa"/>
        <w:tblInd w:w="-601" w:type="dxa"/>
        <w:tblLayout w:type="fixed"/>
        <w:tblCellMar>
          <w:top w:w="0" w:type="dxa"/>
          <w:left w:w="108" w:type="dxa"/>
          <w:bottom w:w="0" w:type="dxa"/>
          <w:right w:w="108" w:type="dxa"/>
        </w:tblCellMar>
      </w:tblPr>
      <w:tblGrid>
        <w:gridCol w:w="567"/>
        <w:gridCol w:w="783"/>
        <w:gridCol w:w="493"/>
        <w:gridCol w:w="1276"/>
        <w:gridCol w:w="1701"/>
        <w:gridCol w:w="425"/>
        <w:gridCol w:w="216"/>
        <w:gridCol w:w="68"/>
        <w:gridCol w:w="850"/>
        <w:gridCol w:w="284"/>
        <w:gridCol w:w="425"/>
        <w:gridCol w:w="851"/>
        <w:gridCol w:w="567"/>
        <w:gridCol w:w="708"/>
        <w:gridCol w:w="993"/>
      </w:tblGrid>
      <w:tr>
        <w:tblPrEx>
          <w:tblCellMar>
            <w:top w:w="0" w:type="dxa"/>
            <w:left w:w="108" w:type="dxa"/>
            <w:bottom w:w="0" w:type="dxa"/>
            <w:right w:w="108" w:type="dxa"/>
          </w:tblCellMar>
        </w:tblPrEx>
        <w:trPr>
          <w:trHeight w:val="637" w:hRule="atLeast"/>
        </w:trPr>
        <w:tc>
          <w:tcPr>
            <w:tcW w:w="10207"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18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8364" w:type="dxa"/>
            <w:gridSpan w:val="12"/>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51080022T000004933784-蜀道文化大讲堂作家讲座、主题创作采风活动等工作经费</w:t>
            </w:r>
          </w:p>
        </w:tc>
      </w:tr>
      <w:tr>
        <w:tblPrEx>
          <w:tblCellMar>
            <w:top w:w="0" w:type="dxa"/>
            <w:left w:w="108" w:type="dxa"/>
            <w:bottom w:w="0" w:type="dxa"/>
            <w:right w:w="108" w:type="dxa"/>
          </w:tblCellMar>
        </w:tblPrEx>
        <w:trPr>
          <w:trHeight w:val="355" w:hRule="atLeast"/>
        </w:trPr>
        <w:tc>
          <w:tcPr>
            <w:tcW w:w="18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3402"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中国共产党广元市委员会宣传部部门</w:t>
            </w:r>
          </w:p>
        </w:tc>
        <w:tc>
          <w:tcPr>
            <w:tcW w:w="1418" w:type="dxa"/>
            <w:gridSpan w:val="4"/>
            <w:tcBorders>
              <w:top w:val="nil"/>
              <w:left w:val="nil"/>
              <w:bottom w:val="nil"/>
              <w:right w:val="nil"/>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 xml:space="preserve">实施单位 </w:t>
            </w:r>
          </w:p>
        </w:tc>
        <w:tc>
          <w:tcPr>
            <w:tcW w:w="35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广元市作家协会</w:t>
            </w:r>
          </w:p>
        </w:tc>
      </w:tr>
      <w:tr>
        <w:tblPrEx>
          <w:tblCellMar>
            <w:top w:w="0" w:type="dxa"/>
            <w:left w:w="108" w:type="dxa"/>
            <w:bottom w:w="0" w:type="dxa"/>
            <w:right w:w="108" w:type="dxa"/>
          </w:tblCellMar>
        </w:tblPrEx>
        <w:trPr>
          <w:trHeight w:val="285" w:hRule="atLeast"/>
        </w:trPr>
        <w:tc>
          <w:tcPr>
            <w:tcW w:w="567"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1276" w:type="dxa"/>
            <w:gridSpan w:val="2"/>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3402"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4962"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r>
      <w:tr>
        <w:tblPrEx>
          <w:tblCellMar>
            <w:top w:w="0" w:type="dxa"/>
            <w:left w:w="108" w:type="dxa"/>
            <w:bottom w:w="0" w:type="dxa"/>
            <w:right w:w="108" w:type="dxa"/>
          </w:tblCellMar>
        </w:tblPrEx>
        <w:trPr>
          <w:trHeight w:val="709" w:hRule="atLeast"/>
        </w:trPr>
        <w:tc>
          <w:tcPr>
            <w:tcW w:w="567"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276" w:type="dxa"/>
            <w:gridSpan w:val="2"/>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3402"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邀请知名文学家、作家到广元开展讲座，传授创作经验，开展采风活动。</w:t>
            </w:r>
          </w:p>
        </w:tc>
        <w:tc>
          <w:tcPr>
            <w:tcW w:w="4962"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hint="eastAsia" w:ascii="Courier New" w:hAnsi="Courier New" w:cs="Courier New"/>
                <w:color w:val="000000"/>
                <w:kern w:val="0"/>
                <w:sz w:val="18"/>
                <w:szCs w:val="18"/>
              </w:rPr>
              <w:t>加强文学组织工作培训1期、召开年度工作会议及市级文学社会组织工作会议等。常态化开展“名家看广元”文学采风活动2期。</w:t>
            </w:r>
            <w:r>
              <w:rPr>
                <w:rFonts w:hint="eastAsia" w:ascii="宋体" w:hAnsi="宋体" w:cs="宋体"/>
                <w:color w:val="000000"/>
                <w:kern w:val="0"/>
                <w:sz w:val="18"/>
                <w:szCs w:val="18"/>
              </w:rPr>
              <w:t>举行首届广元中青年作家改稿会。</w:t>
            </w:r>
          </w:p>
        </w:tc>
      </w:tr>
      <w:tr>
        <w:tblPrEx>
          <w:tblCellMar>
            <w:top w:w="0" w:type="dxa"/>
            <w:left w:w="108" w:type="dxa"/>
            <w:bottom w:w="0" w:type="dxa"/>
            <w:right w:w="108" w:type="dxa"/>
          </w:tblCellMar>
        </w:tblPrEx>
        <w:trPr>
          <w:trHeight w:val="801" w:hRule="atLeast"/>
        </w:trPr>
        <w:tc>
          <w:tcPr>
            <w:tcW w:w="567"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276" w:type="dxa"/>
            <w:gridSpan w:val="2"/>
            <w:tcBorders>
              <w:top w:val="nil"/>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8364" w:type="dxa"/>
            <w:gridSpan w:val="12"/>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一是召开全市文学工作培训会议，就如何更好发挥基层作协组织作用，进一步加强文学组织工作，繁荣文学创作进行专题学习培训2期。二是召开文学社会组织管理与实务培训会议。</w:t>
            </w:r>
            <w:r>
              <w:rPr>
                <w:rFonts w:hint="eastAsia" w:ascii="Courier New" w:hAnsi="Courier New" w:cs="Courier New"/>
                <w:color w:val="000000"/>
                <w:kern w:val="0"/>
                <w:sz w:val="18"/>
                <w:szCs w:val="18"/>
              </w:rPr>
              <w:t>常态化开展“名家看广元”文学采风活动2期。</w:t>
            </w:r>
          </w:p>
        </w:tc>
      </w:tr>
      <w:tr>
        <w:tblPrEx>
          <w:tblCellMar>
            <w:top w:w="0" w:type="dxa"/>
            <w:left w:w="108" w:type="dxa"/>
            <w:bottom w:w="0" w:type="dxa"/>
            <w:right w:w="108" w:type="dxa"/>
          </w:tblCellMar>
        </w:tblPrEx>
        <w:trPr>
          <w:trHeight w:val="360" w:hRule="atLeast"/>
        </w:trPr>
        <w:tc>
          <w:tcPr>
            <w:tcW w:w="567"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127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2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170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268"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85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70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99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567"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27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2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2.56</w:t>
            </w:r>
          </w:p>
        </w:tc>
        <w:tc>
          <w:tcPr>
            <w:tcW w:w="170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2.56</w:t>
            </w:r>
          </w:p>
        </w:tc>
        <w:tc>
          <w:tcPr>
            <w:tcW w:w="2268"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2.56</w:t>
            </w:r>
          </w:p>
        </w:tc>
        <w:tc>
          <w:tcPr>
            <w:tcW w:w="85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70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　</w:t>
            </w:r>
          </w:p>
        </w:tc>
        <w:tc>
          <w:tcPr>
            <w:tcW w:w="993"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90" w:hRule="atLeast"/>
        </w:trPr>
        <w:tc>
          <w:tcPr>
            <w:tcW w:w="567"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27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2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2.56</w:t>
            </w:r>
          </w:p>
        </w:tc>
        <w:tc>
          <w:tcPr>
            <w:tcW w:w="170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2.56</w:t>
            </w:r>
          </w:p>
        </w:tc>
        <w:tc>
          <w:tcPr>
            <w:tcW w:w="2268"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2.56</w:t>
            </w:r>
          </w:p>
        </w:tc>
        <w:tc>
          <w:tcPr>
            <w:tcW w:w="85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0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93"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409" w:hRule="atLeast"/>
        </w:trPr>
        <w:tc>
          <w:tcPr>
            <w:tcW w:w="567"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27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2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0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8"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85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0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93"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567"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27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2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0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8"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85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0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93"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38" w:hRule="atLeast"/>
        </w:trPr>
        <w:tc>
          <w:tcPr>
            <w:tcW w:w="567"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27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276"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701"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268"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851"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0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93"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454" w:hRule="atLeast"/>
        </w:trPr>
        <w:tc>
          <w:tcPr>
            <w:tcW w:w="567"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127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2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170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709"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85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09"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85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70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99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8" w:hRule="atLeast"/>
        </w:trPr>
        <w:tc>
          <w:tcPr>
            <w:tcW w:w="567"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276" w:type="dxa"/>
            <w:gridSpan w:val="2"/>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276"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170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举办作家讲座</w:t>
            </w:r>
          </w:p>
        </w:tc>
        <w:tc>
          <w:tcPr>
            <w:tcW w:w="709"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0" w:type="dxa"/>
            <w:tcBorders>
              <w:top w:val="nil"/>
              <w:left w:val="nil"/>
              <w:bottom w:val="single" w:color="000000" w:sz="4" w:space="0"/>
              <w:right w:val="single" w:color="000000" w:sz="4" w:space="0"/>
            </w:tcBorders>
            <w:shd w:val="clear" w:color="auto" w:fill="auto"/>
            <w:vAlign w:val="center"/>
          </w:tcPr>
          <w:p>
            <w:pPr>
              <w:widowControl/>
              <w:jc w:val="center"/>
              <w:rPr>
                <w:rFonts w:hint="eastAsia" w:ascii="宋体" w:hAnsi="宋体" w:eastAsia="宋体" w:cs="宋体"/>
                <w:color w:val="000000"/>
                <w:kern w:val="0"/>
                <w:sz w:val="18"/>
                <w:szCs w:val="18"/>
                <w:lang w:eastAsia="zh-CN"/>
              </w:rPr>
            </w:pPr>
            <w:r>
              <w:rPr>
                <w:rFonts w:hint="eastAsia" w:ascii="宋体" w:hAnsi="宋体" w:cs="宋体"/>
                <w:color w:val="000000"/>
                <w:kern w:val="0"/>
                <w:sz w:val="18"/>
                <w:szCs w:val="18"/>
                <w:lang w:val="en-US" w:eastAsia="zh-CN"/>
              </w:rPr>
              <w:t>2</w:t>
            </w:r>
          </w:p>
        </w:tc>
        <w:tc>
          <w:tcPr>
            <w:tcW w:w="709"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期</w:t>
            </w:r>
          </w:p>
        </w:tc>
        <w:tc>
          <w:tcPr>
            <w:tcW w:w="851" w:type="dxa"/>
            <w:tcBorders>
              <w:top w:val="nil"/>
              <w:left w:val="nil"/>
              <w:bottom w:val="single" w:color="000000" w:sz="4" w:space="0"/>
              <w:right w:val="single" w:color="000000" w:sz="4" w:space="0"/>
            </w:tcBorders>
            <w:shd w:val="clear" w:color="auto" w:fill="auto"/>
            <w:vAlign w:val="center"/>
          </w:tcPr>
          <w:p>
            <w:pPr>
              <w:jc w:val="center"/>
              <w:rPr>
                <w:rFonts w:hint="eastAsia" w:ascii="微软雅黑" w:hAnsi="微软雅黑" w:eastAsia="微软雅黑" w:cs="宋体"/>
                <w:i/>
                <w:iCs/>
                <w:color w:val="000000"/>
                <w:sz w:val="16"/>
                <w:szCs w:val="16"/>
                <w:lang w:eastAsia="zh-CN"/>
              </w:rPr>
            </w:pPr>
            <w:r>
              <w:rPr>
                <w:rFonts w:hint="eastAsia" w:ascii="微软雅黑" w:hAnsi="微软雅黑" w:eastAsia="微软雅黑"/>
                <w:i/>
                <w:iCs/>
                <w:color w:val="000000"/>
                <w:sz w:val="16"/>
                <w:szCs w:val="16"/>
                <w:lang w:val="en-US" w:eastAsia="zh-CN"/>
              </w:rPr>
              <w:t>2</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708"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color w:val="000000"/>
                <w:sz w:val="18"/>
                <w:szCs w:val="18"/>
              </w:rPr>
              <w:t>10</w:t>
            </w:r>
          </w:p>
        </w:tc>
        <w:tc>
          <w:tcPr>
            <w:tcW w:w="993"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567"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276" w:type="dxa"/>
            <w:gridSpan w:val="2"/>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27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70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开展采风活动</w:t>
            </w:r>
          </w:p>
        </w:tc>
        <w:tc>
          <w:tcPr>
            <w:tcW w:w="709"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709"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期</w:t>
            </w:r>
          </w:p>
        </w:tc>
        <w:tc>
          <w:tcPr>
            <w:tcW w:w="851"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i/>
                <w:iCs/>
                <w:color w:val="000000"/>
                <w:sz w:val="16"/>
                <w:szCs w:val="16"/>
              </w:rPr>
              <w:t>2</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708"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color w:val="000000"/>
                <w:sz w:val="18"/>
                <w:szCs w:val="18"/>
              </w:rPr>
              <w:t>10</w:t>
            </w:r>
          </w:p>
        </w:tc>
        <w:tc>
          <w:tcPr>
            <w:tcW w:w="993"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567"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276" w:type="dxa"/>
            <w:gridSpan w:val="2"/>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2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170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工作任务完成率</w:t>
            </w:r>
          </w:p>
        </w:tc>
        <w:tc>
          <w:tcPr>
            <w:tcW w:w="709"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09"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i/>
                <w:iCs/>
                <w:color w:val="000000"/>
                <w:sz w:val="16"/>
                <w:szCs w:val="16"/>
              </w:rPr>
              <w:t>100%</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708"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color w:val="000000"/>
                <w:sz w:val="18"/>
                <w:szCs w:val="18"/>
              </w:rPr>
              <w:t>10</w:t>
            </w:r>
          </w:p>
        </w:tc>
        <w:tc>
          <w:tcPr>
            <w:tcW w:w="993"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567"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276" w:type="dxa"/>
            <w:gridSpan w:val="2"/>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2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时效指标</w:t>
            </w:r>
          </w:p>
        </w:tc>
        <w:tc>
          <w:tcPr>
            <w:tcW w:w="170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完成时间</w:t>
            </w:r>
          </w:p>
        </w:tc>
        <w:tc>
          <w:tcPr>
            <w:tcW w:w="709"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12</w:t>
            </w:r>
          </w:p>
        </w:tc>
        <w:tc>
          <w:tcPr>
            <w:tcW w:w="709"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月</w:t>
            </w:r>
          </w:p>
        </w:tc>
        <w:tc>
          <w:tcPr>
            <w:tcW w:w="851"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i/>
                <w:iCs/>
                <w:color w:val="000000"/>
                <w:sz w:val="16"/>
                <w:szCs w:val="16"/>
              </w:rPr>
              <w:t>12</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708"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color w:val="000000"/>
                <w:sz w:val="18"/>
                <w:szCs w:val="18"/>
              </w:rPr>
              <w:t>10</w:t>
            </w:r>
          </w:p>
        </w:tc>
        <w:tc>
          <w:tcPr>
            <w:tcW w:w="993"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567"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27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2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170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提升本土作家创作水平</w:t>
            </w:r>
          </w:p>
        </w:tc>
        <w:tc>
          <w:tcPr>
            <w:tcW w:w="709"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85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进一步提升</w:t>
            </w:r>
          </w:p>
        </w:tc>
        <w:tc>
          <w:tcPr>
            <w:tcW w:w="709"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851"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i/>
                <w:iCs/>
                <w:color w:val="000000"/>
                <w:sz w:val="16"/>
                <w:szCs w:val="16"/>
              </w:rPr>
              <w:t>进一步提升</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708"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color w:val="000000"/>
                <w:sz w:val="18"/>
                <w:szCs w:val="18"/>
              </w:rPr>
              <w:t>18</w:t>
            </w:r>
          </w:p>
        </w:tc>
        <w:tc>
          <w:tcPr>
            <w:tcW w:w="993"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454" w:hRule="atLeast"/>
        </w:trPr>
        <w:tc>
          <w:tcPr>
            <w:tcW w:w="567"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27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12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服务对象满意度指标</w:t>
            </w:r>
          </w:p>
        </w:tc>
        <w:tc>
          <w:tcPr>
            <w:tcW w:w="170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作家、文学爱好者、文学工作者满意</w:t>
            </w:r>
          </w:p>
        </w:tc>
        <w:tc>
          <w:tcPr>
            <w:tcW w:w="709"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90</w:t>
            </w:r>
          </w:p>
        </w:tc>
        <w:tc>
          <w:tcPr>
            <w:tcW w:w="709"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i/>
                <w:iCs/>
                <w:color w:val="000000"/>
                <w:sz w:val="16"/>
                <w:szCs w:val="16"/>
              </w:rPr>
              <w:t>95%</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708"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color w:val="000000"/>
                <w:sz w:val="18"/>
                <w:szCs w:val="18"/>
              </w:rPr>
              <w:t>8</w:t>
            </w:r>
          </w:p>
        </w:tc>
        <w:tc>
          <w:tcPr>
            <w:tcW w:w="993"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567"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27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成本指标</w:t>
            </w:r>
          </w:p>
        </w:tc>
        <w:tc>
          <w:tcPr>
            <w:tcW w:w="127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经济成本指标</w:t>
            </w:r>
          </w:p>
        </w:tc>
        <w:tc>
          <w:tcPr>
            <w:tcW w:w="1701"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工作经费</w:t>
            </w:r>
          </w:p>
        </w:tc>
        <w:tc>
          <w:tcPr>
            <w:tcW w:w="709"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25600</w:t>
            </w:r>
          </w:p>
        </w:tc>
        <w:tc>
          <w:tcPr>
            <w:tcW w:w="709"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元</w:t>
            </w:r>
          </w:p>
        </w:tc>
        <w:tc>
          <w:tcPr>
            <w:tcW w:w="851"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i/>
                <w:iCs/>
                <w:color w:val="000000"/>
                <w:sz w:val="16"/>
                <w:szCs w:val="16"/>
              </w:rPr>
              <w:t>25600</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708"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color w:val="000000"/>
                <w:sz w:val="18"/>
                <w:szCs w:val="18"/>
              </w:rPr>
              <w:t>20</w:t>
            </w:r>
          </w:p>
        </w:tc>
        <w:tc>
          <w:tcPr>
            <w:tcW w:w="993"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285" w:hRule="atLeast"/>
        </w:trPr>
        <w:tc>
          <w:tcPr>
            <w:tcW w:w="7939"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0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96</w:t>
            </w:r>
          </w:p>
        </w:tc>
        <w:tc>
          <w:tcPr>
            <w:tcW w:w="993"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604" w:hRule="atLeast"/>
        </w:trPr>
        <w:tc>
          <w:tcPr>
            <w:tcW w:w="1350" w:type="dxa"/>
            <w:gridSpan w:val="2"/>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8857" w:type="dxa"/>
            <w:gridSpan w:val="13"/>
            <w:tcBorders>
              <w:top w:val="single" w:color="000000" w:sz="4" w:space="0"/>
              <w:left w:val="nil"/>
              <w:bottom w:val="single" w:color="000000" w:sz="4" w:space="0"/>
              <w:right w:val="single" w:color="000000" w:sz="4" w:space="0"/>
            </w:tcBorders>
            <w:shd w:val="clear" w:color="auto" w:fill="auto"/>
            <w:vAlign w:val="center"/>
          </w:tcPr>
          <w:p>
            <w:pPr>
              <w:rPr>
                <w:rFonts w:ascii="微软雅黑" w:hAnsi="微软雅黑" w:eastAsia="微软雅黑" w:cs="宋体"/>
                <w:color w:val="000000"/>
                <w:sz w:val="16"/>
                <w:szCs w:val="16"/>
              </w:rPr>
            </w:pPr>
            <w:r>
              <w:rPr>
                <w:rFonts w:hint="eastAsia" w:ascii="微软雅黑" w:hAnsi="微软雅黑" w:eastAsia="微软雅黑"/>
                <w:color w:val="000000"/>
                <w:sz w:val="16"/>
                <w:szCs w:val="16"/>
              </w:rPr>
              <w:t>结合自评情况，该项目自评96总分，一是召开全市文学工作培训会议，就如何更好发挥基层作协组织作用，进一步加强文学组织工作，繁荣文学创作进行专题学习培训2期。二是召开文学社会组织管理与实务培训会议。三是常态化开展“名家看广元”文学采风活动2期。</w:t>
            </w:r>
          </w:p>
        </w:tc>
      </w:tr>
      <w:tr>
        <w:tblPrEx>
          <w:tblCellMar>
            <w:top w:w="0" w:type="dxa"/>
            <w:left w:w="108" w:type="dxa"/>
            <w:bottom w:w="0" w:type="dxa"/>
            <w:right w:w="108" w:type="dxa"/>
          </w:tblCellMar>
        </w:tblPrEx>
        <w:trPr>
          <w:trHeight w:val="574" w:hRule="atLeast"/>
        </w:trPr>
        <w:tc>
          <w:tcPr>
            <w:tcW w:w="1350" w:type="dxa"/>
            <w:gridSpan w:val="2"/>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8857" w:type="dxa"/>
            <w:gridSpan w:val="13"/>
            <w:tcBorders>
              <w:top w:val="single" w:color="000000" w:sz="4" w:space="0"/>
              <w:left w:val="nil"/>
              <w:bottom w:val="single" w:color="000000" w:sz="4" w:space="0"/>
              <w:right w:val="single" w:color="000000" w:sz="4" w:space="0"/>
            </w:tcBorders>
            <w:shd w:val="clear" w:color="auto" w:fill="auto"/>
            <w:vAlign w:val="center"/>
          </w:tcPr>
          <w:p>
            <w:pPr>
              <w:rPr>
                <w:rFonts w:ascii="宋体" w:hAnsi="宋体" w:cs="宋体"/>
                <w:color w:val="000000"/>
                <w:sz w:val="18"/>
                <w:szCs w:val="18"/>
              </w:rPr>
            </w:pPr>
            <w:r>
              <w:rPr>
                <w:rFonts w:hint="eastAsia"/>
                <w:color w:val="000000"/>
                <w:sz w:val="18"/>
                <w:szCs w:val="18"/>
              </w:rPr>
              <w:t>预算绩效管理工作中，还存在工作标准不高、不精细等问题。</w:t>
            </w:r>
          </w:p>
        </w:tc>
      </w:tr>
      <w:tr>
        <w:tblPrEx>
          <w:tblCellMar>
            <w:top w:w="0" w:type="dxa"/>
            <w:left w:w="108" w:type="dxa"/>
            <w:bottom w:w="0" w:type="dxa"/>
            <w:right w:w="108" w:type="dxa"/>
          </w:tblCellMar>
        </w:tblPrEx>
        <w:trPr>
          <w:trHeight w:val="460" w:hRule="atLeast"/>
        </w:trPr>
        <w:tc>
          <w:tcPr>
            <w:tcW w:w="1350" w:type="dxa"/>
            <w:gridSpan w:val="2"/>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8857" w:type="dxa"/>
            <w:gridSpan w:val="13"/>
            <w:tcBorders>
              <w:top w:val="single" w:color="000000" w:sz="4" w:space="0"/>
              <w:left w:val="nil"/>
              <w:bottom w:val="single" w:color="000000" w:sz="4" w:space="0"/>
              <w:right w:val="single" w:color="000000" w:sz="4" w:space="0"/>
            </w:tcBorders>
            <w:shd w:val="clear" w:color="auto" w:fill="auto"/>
            <w:vAlign w:val="center"/>
          </w:tcPr>
          <w:p>
            <w:pPr>
              <w:rPr>
                <w:rFonts w:ascii="宋体" w:hAnsi="宋体" w:cs="宋体"/>
                <w:color w:val="000000"/>
                <w:sz w:val="18"/>
                <w:szCs w:val="18"/>
              </w:rPr>
            </w:pPr>
            <w:r>
              <w:rPr>
                <w:rFonts w:hint="eastAsia"/>
                <w:color w:val="000000"/>
                <w:sz w:val="18"/>
                <w:szCs w:val="18"/>
              </w:rPr>
              <w:t>针对查找的问题，加强学习，提出改进措施及相关政策意见与建议；加强项目实施的精细规划。</w:t>
            </w:r>
          </w:p>
        </w:tc>
      </w:tr>
      <w:tr>
        <w:tblPrEx>
          <w:tblCellMar>
            <w:top w:w="0" w:type="dxa"/>
            <w:left w:w="108" w:type="dxa"/>
            <w:bottom w:w="0" w:type="dxa"/>
            <w:right w:w="108" w:type="dxa"/>
          </w:tblCellMar>
        </w:tblPrEx>
        <w:trPr>
          <w:trHeight w:val="285" w:hRule="atLeast"/>
        </w:trPr>
        <w:tc>
          <w:tcPr>
            <w:tcW w:w="5461"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项目负责人：</w:t>
            </w:r>
          </w:p>
        </w:tc>
        <w:tc>
          <w:tcPr>
            <w:tcW w:w="4746" w:type="dxa"/>
            <w:gridSpan w:val="8"/>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财务负责人：</w:t>
            </w:r>
          </w:p>
        </w:tc>
      </w:tr>
    </w:tbl>
    <w:p>
      <w:pPr>
        <w:pStyle w:val="2"/>
        <w:spacing w:before="319"/>
        <w:ind w:left="0" w:firstLine="0"/>
      </w:pPr>
      <w:r>
        <w:rPr>
          <w:rFonts w:hint="eastAsia"/>
        </w:rPr>
        <w:t>附件9</w:t>
      </w:r>
    </w:p>
    <w:tbl>
      <w:tblPr>
        <w:tblStyle w:val="13"/>
        <w:tblW w:w="10916" w:type="dxa"/>
        <w:tblInd w:w="-1310" w:type="dxa"/>
        <w:tblLayout w:type="fixed"/>
        <w:tblCellMar>
          <w:top w:w="0" w:type="dxa"/>
          <w:left w:w="108" w:type="dxa"/>
          <w:bottom w:w="0" w:type="dxa"/>
          <w:right w:w="108" w:type="dxa"/>
        </w:tblCellMar>
      </w:tblPr>
      <w:tblGrid>
        <w:gridCol w:w="709"/>
        <w:gridCol w:w="1418"/>
        <w:gridCol w:w="172"/>
        <w:gridCol w:w="1104"/>
        <w:gridCol w:w="1984"/>
        <w:gridCol w:w="253"/>
        <w:gridCol w:w="456"/>
        <w:gridCol w:w="992"/>
        <w:gridCol w:w="40"/>
        <w:gridCol w:w="669"/>
        <w:gridCol w:w="364"/>
        <w:gridCol w:w="487"/>
        <w:gridCol w:w="567"/>
        <w:gridCol w:w="567"/>
        <w:gridCol w:w="1134"/>
      </w:tblGrid>
      <w:tr>
        <w:tblPrEx>
          <w:tblCellMar>
            <w:top w:w="0" w:type="dxa"/>
            <w:left w:w="108" w:type="dxa"/>
            <w:bottom w:w="0" w:type="dxa"/>
            <w:right w:w="108" w:type="dxa"/>
          </w:tblCellMar>
        </w:tblPrEx>
        <w:trPr>
          <w:trHeight w:val="637" w:hRule="atLeast"/>
        </w:trPr>
        <w:tc>
          <w:tcPr>
            <w:tcW w:w="10916"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21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8789" w:type="dxa"/>
            <w:gridSpan w:val="13"/>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51080022T000004934437-文学活动经费往来款</w:t>
            </w:r>
          </w:p>
        </w:tc>
      </w:tr>
      <w:tr>
        <w:tblPrEx>
          <w:tblCellMar>
            <w:top w:w="0" w:type="dxa"/>
            <w:left w:w="108" w:type="dxa"/>
            <w:bottom w:w="0" w:type="dxa"/>
            <w:right w:w="108" w:type="dxa"/>
          </w:tblCellMar>
        </w:tblPrEx>
        <w:trPr>
          <w:trHeight w:val="514" w:hRule="atLeast"/>
        </w:trPr>
        <w:tc>
          <w:tcPr>
            <w:tcW w:w="21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5001" w:type="dxa"/>
            <w:gridSpan w:val="7"/>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中国共产党广元市委员会宣传部部门</w:t>
            </w:r>
          </w:p>
        </w:tc>
        <w:tc>
          <w:tcPr>
            <w:tcW w:w="1033" w:type="dxa"/>
            <w:gridSpan w:val="2"/>
            <w:tcBorders>
              <w:top w:val="nil"/>
              <w:left w:val="nil"/>
              <w:bottom w:val="nil"/>
              <w:right w:val="nil"/>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 xml:space="preserve">实施单位 </w:t>
            </w:r>
          </w:p>
        </w:tc>
        <w:tc>
          <w:tcPr>
            <w:tcW w:w="275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广元市作家协会</w:t>
            </w:r>
          </w:p>
        </w:tc>
      </w:tr>
      <w:tr>
        <w:tblPrEx>
          <w:tblCellMar>
            <w:top w:w="0" w:type="dxa"/>
            <w:left w:w="108" w:type="dxa"/>
            <w:bottom w:w="0" w:type="dxa"/>
            <w:right w:w="108" w:type="dxa"/>
          </w:tblCellMar>
        </w:tblPrEx>
        <w:trPr>
          <w:trHeight w:val="285" w:hRule="atLeast"/>
        </w:trPr>
        <w:tc>
          <w:tcPr>
            <w:tcW w:w="70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1418"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5001" w:type="dxa"/>
            <w:gridSpan w:val="7"/>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3788"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r>
      <w:tr>
        <w:tblPrEx>
          <w:tblCellMar>
            <w:top w:w="0" w:type="dxa"/>
            <w:left w:w="108" w:type="dxa"/>
            <w:bottom w:w="0" w:type="dxa"/>
            <w:right w:w="108" w:type="dxa"/>
          </w:tblCellMar>
        </w:tblPrEx>
        <w:trPr>
          <w:trHeight w:val="709" w:hRule="atLeast"/>
        </w:trPr>
        <w:tc>
          <w:tcPr>
            <w:tcW w:w="709"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418"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5001" w:type="dxa"/>
            <w:gridSpan w:val="7"/>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出版剑门关杂志，举行文学讲座，开展采风等文学活动。</w:t>
            </w:r>
          </w:p>
        </w:tc>
        <w:tc>
          <w:tcPr>
            <w:tcW w:w="3788"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hint="eastAsia" w:ascii="Courier New" w:hAnsi="Courier New" w:cs="Courier New"/>
                <w:color w:val="000000"/>
                <w:kern w:val="0"/>
                <w:sz w:val="18"/>
                <w:szCs w:val="18"/>
              </w:rPr>
              <w:t>出版剑门关杂志，举行文学讲座2次，举行改稿会1次，开展文学采风活动、开展文学工作调研等10余次。</w:t>
            </w:r>
          </w:p>
        </w:tc>
      </w:tr>
      <w:tr>
        <w:tblPrEx>
          <w:tblCellMar>
            <w:top w:w="0" w:type="dxa"/>
            <w:left w:w="108" w:type="dxa"/>
            <w:bottom w:w="0" w:type="dxa"/>
            <w:right w:w="108" w:type="dxa"/>
          </w:tblCellMar>
        </w:tblPrEx>
        <w:trPr>
          <w:trHeight w:val="694" w:hRule="atLeast"/>
        </w:trPr>
        <w:tc>
          <w:tcPr>
            <w:tcW w:w="709"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418"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8789" w:type="dxa"/>
            <w:gridSpan w:val="13"/>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加强文学阵地建设。做好文学编辑工作，推动文学创作。编辑出版《剑门关》杂志，严把了刊物质量关，杜绝了政治问题和较大技术性错误。持续办好广元文学微信公众号新媒体，加强文学交流展示和对外宣传。组织作家参加“海绵城市示范建设看广元”媒体和文艺采风及市民观察团看广元物流产业发展等活动，开展“走进广元城市后花园 相约龙潭”、走进旺苍木门茶山等文学采风创作活动以及开展文学工作调研等10余次。</w:t>
            </w:r>
          </w:p>
        </w:tc>
      </w:tr>
      <w:tr>
        <w:tblPrEx>
          <w:tblCellMar>
            <w:top w:w="0" w:type="dxa"/>
            <w:left w:w="108" w:type="dxa"/>
            <w:bottom w:w="0" w:type="dxa"/>
            <w:right w:w="108" w:type="dxa"/>
          </w:tblCellMar>
        </w:tblPrEx>
        <w:trPr>
          <w:trHeight w:val="360" w:hRule="atLeast"/>
        </w:trPr>
        <w:tc>
          <w:tcPr>
            <w:tcW w:w="70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141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27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198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41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851"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13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709"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41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27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20.00</w:t>
            </w:r>
          </w:p>
        </w:tc>
        <w:tc>
          <w:tcPr>
            <w:tcW w:w="198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20.00</w:t>
            </w:r>
          </w:p>
        </w:tc>
        <w:tc>
          <w:tcPr>
            <w:tcW w:w="241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18.28</w:t>
            </w:r>
          </w:p>
        </w:tc>
        <w:tc>
          <w:tcPr>
            <w:tcW w:w="851"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91.41%</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　</w:t>
            </w:r>
          </w:p>
        </w:tc>
        <w:tc>
          <w:tcPr>
            <w:tcW w:w="1134"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cs="Courier New"/>
                <w:i/>
                <w:iCs/>
                <w:color w:val="000000"/>
                <w:kern w:val="0"/>
                <w:sz w:val="18"/>
                <w:szCs w:val="18"/>
              </w:rPr>
            </w:pPr>
            <w:r>
              <w:rPr>
                <w:rFonts w:hint="eastAsia" w:ascii="Courier New" w:hAnsi="Courier New" w:cs="Courier New"/>
                <w:i w:val="0"/>
                <w:iCs w:val="0"/>
                <w:color w:val="000000"/>
                <w:kern w:val="0"/>
                <w:sz w:val="18"/>
                <w:szCs w:val="18"/>
              </w:rPr>
              <w:t>项目年末结束，部分资金未结算。</w:t>
            </w:r>
          </w:p>
        </w:tc>
      </w:tr>
      <w:tr>
        <w:tblPrEx>
          <w:tblCellMar>
            <w:top w:w="0" w:type="dxa"/>
            <w:left w:w="108" w:type="dxa"/>
            <w:bottom w:w="0" w:type="dxa"/>
            <w:right w:w="108" w:type="dxa"/>
          </w:tblCellMar>
        </w:tblPrEx>
        <w:trPr>
          <w:trHeight w:val="390" w:hRule="atLeast"/>
        </w:trPr>
        <w:tc>
          <w:tcPr>
            <w:tcW w:w="709"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41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27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98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41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851"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134"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409" w:hRule="atLeast"/>
        </w:trPr>
        <w:tc>
          <w:tcPr>
            <w:tcW w:w="709"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41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27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98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41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851"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134"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709"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41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27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20.00</w:t>
            </w:r>
          </w:p>
        </w:tc>
        <w:tc>
          <w:tcPr>
            <w:tcW w:w="198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20.00</w:t>
            </w:r>
          </w:p>
        </w:tc>
        <w:tc>
          <w:tcPr>
            <w:tcW w:w="241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18.28</w:t>
            </w:r>
          </w:p>
        </w:tc>
        <w:tc>
          <w:tcPr>
            <w:tcW w:w="851"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91.41%</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134"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38" w:hRule="atLeast"/>
        </w:trPr>
        <w:tc>
          <w:tcPr>
            <w:tcW w:w="709"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41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27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984"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41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851"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134"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454" w:hRule="atLeast"/>
        </w:trPr>
        <w:tc>
          <w:tcPr>
            <w:tcW w:w="709"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141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27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198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709"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992"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09"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851"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13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8" w:hRule="atLeast"/>
        </w:trPr>
        <w:tc>
          <w:tcPr>
            <w:tcW w:w="709"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418"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276" w:type="dxa"/>
            <w:gridSpan w:val="2"/>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198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开展作家讲座</w:t>
            </w:r>
          </w:p>
        </w:tc>
        <w:tc>
          <w:tcPr>
            <w:tcW w:w="709"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92"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709"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次</w:t>
            </w:r>
          </w:p>
        </w:tc>
        <w:tc>
          <w:tcPr>
            <w:tcW w:w="851"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3</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67"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color w:val="000000"/>
                <w:sz w:val="18"/>
                <w:szCs w:val="18"/>
              </w:rPr>
              <w:t>10</w:t>
            </w:r>
          </w:p>
        </w:tc>
        <w:tc>
          <w:tcPr>
            <w:tcW w:w="1134"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9"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418"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276" w:type="dxa"/>
            <w:gridSpan w:val="2"/>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98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考察调研</w:t>
            </w:r>
          </w:p>
        </w:tc>
        <w:tc>
          <w:tcPr>
            <w:tcW w:w="709"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92"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709"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次</w:t>
            </w:r>
          </w:p>
        </w:tc>
        <w:tc>
          <w:tcPr>
            <w:tcW w:w="851"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5</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67"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color w:val="000000"/>
                <w:sz w:val="18"/>
                <w:szCs w:val="18"/>
              </w:rPr>
              <w:t>10</w:t>
            </w:r>
          </w:p>
        </w:tc>
        <w:tc>
          <w:tcPr>
            <w:tcW w:w="1134"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454" w:hRule="atLeast"/>
        </w:trPr>
        <w:tc>
          <w:tcPr>
            <w:tcW w:w="709"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418"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276" w:type="dxa"/>
            <w:gridSpan w:val="2"/>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98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开展文学创作采风活动及主题宣传活动</w:t>
            </w:r>
          </w:p>
        </w:tc>
        <w:tc>
          <w:tcPr>
            <w:tcW w:w="709"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92"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709"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次</w:t>
            </w:r>
          </w:p>
        </w:tc>
        <w:tc>
          <w:tcPr>
            <w:tcW w:w="851"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5　</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67"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color w:val="000000"/>
                <w:sz w:val="18"/>
                <w:szCs w:val="18"/>
              </w:rPr>
              <w:t>10</w:t>
            </w:r>
          </w:p>
        </w:tc>
        <w:tc>
          <w:tcPr>
            <w:tcW w:w="1134"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9"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418"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27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198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完成工作任务率</w:t>
            </w:r>
          </w:p>
        </w:tc>
        <w:tc>
          <w:tcPr>
            <w:tcW w:w="709"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92"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09"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90</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567"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color w:val="000000"/>
                <w:sz w:val="18"/>
                <w:szCs w:val="18"/>
              </w:rPr>
              <w:t>3</w:t>
            </w:r>
          </w:p>
        </w:tc>
        <w:tc>
          <w:tcPr>
            <w:tcW w:w="1134"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9"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418"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27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时效指标</w:t>
            </w:r>
          </w:p>
        </w:tc>
        <w:tc>
          <w:tcPr>
            <w:tcW w:w="198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完成时间</w:t>
            </w:r>
          </w:p>
        </w:tc>
        <w:tc>
          <w:tcPr>
            <w:tcW w:w="709"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92"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12</w:t>
            </w:r>
          </w:p>
        </w:tc>
        <w:tc>
          <w:tcPr>
            <w:tcW w:w="709"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月</w:t>
            </w:r>
          </w:p>
        </w:tc>
        <w:tc>
          <w:tcPr>
            <w:tcW w:w="851"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12　</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567"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color w:val="000000"/>
                <w:sz w:val="18"/>
                <w:szCs w:val="18"/>
              </w:rPr>
              <w:t>5</w:t>
            </w:r>
          </w:p>
        </w:tc>
        <w:tc>
          <w:tcPr>
            <w:tcW w:w="1134"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9"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41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27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社会效益指标</w:t>
            </w:r>
          </w:p>
        </w:tc>
        <w:tc>
          <w:tcPr>
            <w:tcW w:w="198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丰富群众精神生活</w:t>
            </w:r>
          </w:p>
        </w:tc>
        <w:tc>
          <w:tcPr>
            <w:tcW w:w="709"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992"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进一步提升</w:t>
            </w:r>
          </w:p>
        </w:tc>
        <w:tc>
          <w:tcPr>
            <w:tcW w:w="709"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851"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Cs/>
                <w:color w:val="000000"/>
                <w:kern w:val="0"/>
                <w:sz w:val="15"/>
                <w:szCs w:val="15"/>
              </w:rPr>
            </w:pPr>
            <w:r>
              <w:rPr>
                <w:rFonts w:hint="eastAsia" w:ascii="微软雅黑" w:hAnsi="微软雅黑" w:eastAsia="微软雅黑" w:cs="宋体"/>
                <w:iCs/>
                <w:color w:val="000000"/>
                <w:kern w:val="0"/>
                <w:sz w:val="15"/>
                <w:szCs w:val="15"/>
              </w:rPr>
              <w:t>有所提升　</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567"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color w:val="000000"/>
                <w:sz w:val="18"/>
                <w:szCs w:val="18"/>
              </w:rPr>
              <w:t>20</w:t>
            </w:r>
          </w:p>
        </w:tc>
        <w:tc>
          <w:tcPr>
            <w:tcW w:w="1134"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454" w:hRule="atLeast"/>
        </w:trPr>
        <w:tc>
          <w:tcPr>
            <w:tcW w:w="709"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41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127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服务对象满意度指标</w:t>
            </w:r>
          </w:p>
        </w:tc>
        <w:tc>
          <w:tcPr>
            <w:tcW w:w="198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群众满意度</w:t>
            </w:r>
          </w:p>
        </w:tc>
        <w:tc>
          <w:tcPr>
            <w:tcW w:w="709"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92"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90</w:t>
            </w:r>
          </w:p>
        </w:tc>
        <w:tc>
          <w:tcPr>
            <w:tcW w:w="709"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92　</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567"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color w:val="000000"/>
                <w:sz w:val="18"/>
                <w:szCs w:val="18"/>
              </w:rPr>
              <w:t>10</w:t>
            </w:r>
          </w:p>
        </w:tc>
        <w:tc>
          <w:tcPr>
            <w:tcW w:w="1134"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9"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41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成本指标</w:t>
            </w:r>
          </w:p>
        </w:tc>
        <w:tc>
          <w:tcPr>
            <w:tcW w:w="127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经济成本指标</w:t>
            </w:r>
          </w:p>
        </w:tc>
        <w:tc>
          <w:tcPr>
            <w:tcW w:w="198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经费支出</w:t>
            </w:r>
          </w:p>
        </w:tc>
        <w:tc>
          <w:tcPr>
            <w:tcW w:w="709"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92"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709"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851"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18.28</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567"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color w:val="000000"/>
                <w:sz w:val="18"/>
                <w:szCs w:val="18"/>
              </w:rPr>
              <w:t>17</w:t>
            </w:r>
          </w:p>
        </w:tc>
        <w:tc>
          <w:tcPr>
            <w:tcW w:w="1134"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285" w:hRule="atLeast"/>
        </w:trPr>
        <w:tc>
          <w:tcPr>
            <w:tcW w:w="8648"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95</w:t>
            </w:r>
          </w:p>
        </w:tc>
        <w:tc>
          <w:tcPr>
            <w:tcW w:w="1134"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604" w:hRule="atLeast"/>
        </w:trPr>
        <w:tc>
          <w:tcPr>
            <w:tcW w:w="2299" w:type="dxa"/>
            <w:gridSpan w:val="3"/>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8617" w:type="dxa"/>
            <w:gridSpan w:val="12"/>
            <w:tcBorders>
              <w:top w:val="single" w:color="000000" w:sz="4" w:space="0"/>
              <w:left w:val="nil"/>
              <w:bottom w:val="single" w:color="000000" w:sz="4" w:space="0"/>
              <w:right w:val="single" w:color="000000" w:sz="4" w:space="0"/>
            </w:tcBorders>
            <w:shd w:val="clear" w:color="auto" w:fill="auto"/>
            <w:vAlign w:val="center"/>
          </w:tcPr>
          <w:p>
            <w:pPr>
              <w:rPr>
                <w:rFonts w:ascii="微软雅黑" w:hAnsi="微软雅黑" w:eastAsia="微软雅黑" w:cs="宋体"/>
                <w:color w:val="000000"/>
                <w:sz w:val="16"/>
                <w:szCs w:val="16"/>
              </w:rPr>
            </w:pPr>
            <w:r>
              <w:rPr>
                <w:rFonts w:hint="eastAsia" w:ascii="微软雅黑" w:hAnsi="微软雅黑" w:eastAsia="微软雅黑"/>
                <w:color w:val="000000"/>
                <w:sz w:val="16"/>
                <w:szCs w:val="16"/>
              </w:rPr>
              <w:t>结合自评情况，该项目自评总分95分，通过项目的实施加强文学阵地建设。做好文学编辑工作，推动文学创作。持续办好广元文学微信公众号新媒体，加强文学交流展示和对外宣传。</w:t>
            </w:r>
          </w:p>
        </w:tc>
      </w:tr>
      <w:tr>
        <w:tblPrEx>
          <w:tblCellMar>
            <w:top w:w="0" w:type="dxa"/>
            <w:left w:w="108" w:type="dxa"/>
            <w:bottom w:w="0" w:type="dxa"/>
            <w:right w:w="108" w:type="dxa"/>
          </w:tblCellMar>
        </w:tblPrEx>
        <w:trPr>
          <w:trHeight w:val="385" w:hRule="atLeast"/>
        </w:trPr>
        <w:tc>
          <w:tcPr>
            <w:tcW w:w="2299" w:type="dxa"/>
            <w:gridSpan w:val="3"/>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8617" w:type="dxa"/>
            <w:gridSpan w:val="12"/>
            <w:tcBorders>
              <w:top w:val="single" w:color="000000" w:sz="4" w:space="0"/>
              <w:left w:val="nil"/>
              <w:bottom w:val="single" w:color="000000" w:sz="4" w:space="0"/>
              <w:right w:val="single" w:color="000000" w:sz="4" w:space="0"/>
            </w:tcBorders>
            <w:shd w:val="clear" w:color="auto" w:fill="auto"/>
            <w:vAlign w:val="center"/>
          </w:tcPr>
          <w:p>
            <w:pPr>
              <w:rPr>
                <w:rFonts w:ascii="微软雅黑" w:hAnsi="微软雅黑" w:eastAsia="微软雅黑" w:cs="宋体"/>
                <w:color w:val="000000"/>
                <w:sz w:val="16"/>
                <w:szCs w:val="16"/>
              </w:rPr>
            </w:pPr>
            <w:r>
              <w:rPr>
                <w:rFonts w:hint="eastAsia" w:ascii="微软雅黑" w:hAnsi="微软雅黑" w:eastAsia="微软雅黑"/>
                <w:color w:val="000000"/>
                <w:sz w:val="16"/>
                <w:szCs w:val="16"/>
              </w:rPr>
              <w:t>支付进度略有滞后。</w:t>
            </w:r>
          </w:p>
        </w:tc>
      </w:tr>
      <w:tr>
        <w:tblPrEx>
          <w:tblCellMar>
            <w:top w:w="0" w:type="dxa"/>
            <w:left w:w="108" w:type="dxa"/>
            <w:bottom w:w="0" w:type="dxa"/>
            <w:right w:w="108" w:type="dxa"/>
          </w:tblCellMar>
        </w:tblPrEx>
        <w:trPr>
          <w:trHeight w:val="634" w:hRule="atLeast"/>
        </w:trPr>
        <w:tc>
          <w:tcPr>
            <w:tcW w:w="2299" w:type="dxa"/>
            <w:gridSpan w:val="3"/>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8617" w:type="dxa"/>
            <w:gridSpan w:val="12"/>
            <w:tcBorders>
              <w:top w:val="single" w:color="000000" w:sz="4" w:space="0"/>
              <w:left w:val="nil"/>
              <w:bottom w:val="single" w:color="000000" w:sz="4" w:space="0"/>
              <w:right w:val="single" w:color="000000" w:sz="4" w:space="0"/>
            </w:tcBorders>
            <w:shd w:val="clear" w:color="auto" w:fill="auto"/>
            <w:vAlign w:val="center"/>
          </w:tcPr>
          <w:p>
            <w:pPr>
              <w:rPr>
                <w:rFonts w:ascii="微软雅黑" w:hAnsi="微软雅黑" w:eastAsia="微软雅黑" w:cs="宋体"/>
                <w:color w:val="000000"/>
                <w:sz w:val="16"/>
                <w:szCs w:val="16"/>
              </w:rPr>
            </w:pPr>
            <w:r>
              <w:rPr>
                <w:rFonts w:hint="eastAsia" w:ascii="微软雅黑" w:hAnsi="微软雅黑" w:eastAsia="微软雅黑"/>
                <w:color w:val="000000"/>
                <w:sz w:val="16"/>
                <w:szCs w:val="16"/>
              </w:rPr>
              <w:t>加强人员分工明确，细化人头，提高各部室的协同效率，实现资源共享和优化配置，对现有人员进行培训和提升，提高整体的工作效率。</w:t>
            </w:r>
          </w:p>
        </w:tc>
      </w:tr>
      <w:tr>
        <w:tblPrEx>
          <w:tblCellMar>
            <w:top w:w="0" w:type="dxa"/>
            <w:left w:w="108" w:type="dxa"/>
            <w:bottom w:w="0" w:type="dxa"/>
            <w:right w:w="108" w:type="dxa"/>
          </w:tblCellMar>
        </w:tblPrEx>
        <w:trPr>
          <w:trHeight w:val="285" w:hRule="atLeast"/>
        </w:trPr>
        <w:tc>
          <w:tcPr>
            <w:tcW w:w="564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项目负责人：</w:t>
            </w:r>
          </w:p>
        </w:tc>
        <w:tc>
          <w:tcPr>
            <w:tcW w:w="5276"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财务负责人：</w:t>
            </w:r>
          </w:p>
        </w:tc>
      </w:tr>
    </w:tbl>
    <w:p>
      <w:pPr>
        <w:pStyle w:val="2"/>
        <w:spacing w:before="319"/>
        <w:ind w:left="0" w:firstLine="0"/>
      </w:pPr>
      <w:r>
        <w:rPr>
          <w:rFonts w:hint="eastAsia"/>
        </w:rPr>
        <w:t>附件10</w:t>
      </w:r>
    </w:p>
    <w:tbl>
      <w:tblPr>
        <w:tblStyle w:val="13"/>
        <w:tblW w:w="5785" w:type="pct"/>
        <w:tblInd w:w="-459" w:type="dxa"/>
        <w:tblLayout w:type="fixed"/>
        <w:tblCellMar>
          <w:top w:w="0" w:type="dxa"/>
          <w:left w:w="108" w:type="dxa"/>
          <w:bottom w:w="0" w:type="dxa"/>
          <w:right w:w="108" w:type="dxa"/>
        </w:tblCellMar>
      </w:tblPr>
      <w:tblGrid>
        <w:gridCol w:w="703"/>
        <w:gridCol w:w="324"/>
        <w:gridCol w:w="808"/>
        <w:gridCol w:w="1183"/>
        <w:gridCol w:w="1228"/>
        <w:gridCol w:w="376"/>
        <w:gridCol w:w="339"/>
        <w:gridCol w:w="709"/>
        <w:gridCol w:w="709"/>
        <w:gridCol w:w="337"/>
        <w:gridCol w:w="374"/>
        <w:gridCol w:w="567"/>
        <w:gridCol w:w="709"/>
        <w:gridCol w:w="1488"/>
      </w:tblGrid>
      <w:tr>
        <w:tblPrEx>
          <w:tblCellMar>
            <w:top w:w="0" w:type="dxa"/>
            <w:left w:w="108" w:type="dxa"/>
            <w:bottom w:w="0" w:type="dxa"/>
            <w:right w:w="108" w:type="dxa"/>
          </w:tblCellMar>
        </w:tblPrEx>
        <w:trPr>
          <w:trHeight w:val="779" w:hRule="atLeast"/>
        </w:trPr>
        <w:tc>
          <w:tcPr>
            <w:tcW w:w="5000" w:type="pct"/>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黑体" w:hAnsi="黑体" w:eastAsia="黑体" w:cs="宋体"/>
                <w:b/>
                <w:bCs/>
                <w:color w:val="auto"/>
                <w:kern w:val="0"/>
                <w:sz w:val="30"/>
                <w:szCs w:val="30"/>
              </w:rPr>
            </w:pPr>
            <w:r>
              <w:rPr>
                <w:rFonts w:hint="eastAsia" w:ascii="黑体" w:hAnsi="黑体" w:eastAsia="黑体" w:cs="宋体"/>
                <w:b/>
                <w:bCs/>
                <w:color w:val="auto"/>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93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auto"/>
                <w:kern w:val="0"/>
                <w:sz w:val="18"/>
                <w:szCs w:val="18"/>
              </w:rPr>
            </w:pPr>
            <w:r>
              <w:rPr>
                <w:rFonts w:hint="eastAsia" w:ascii="宋体" w:hAnsi="宋体" w:cs="宋体"/>
                <w:color w:val="auto"/>
                <w:kern w:val="0"/>
                <w:sz w:val="18"/>
                <w:szCs w:val="18"/>
              </w:rPr>
              <w:t>项目名称</w:t>
            </w:r>
          </w:p>
        </w:tc>
        <w:tc>
          <w:tcPr>
            <w:tcW w:w="4068" w:type="pct"/>
            <w:gridSpan w:val="11"/>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auto"/>
                <w:kern w:val="0"/>
                <w:sz w:val="18"/>
                <w:szCs w:val="18"/>
              </w:rPr>
            </w:pPr>
            <w:r>
              <w:rPr>
                <w:rFonts w:hint="eastAsia" w:ascii="宋体" w:hAnsi="宋体" w:cs="宋体"/>
                <w:color w:val="auto"/>
                <w:kern w:val="0"/>
                <w:sz w:val="18"/>
                <w:szCs w:val="18"/>
              </w:rPr>
              <w:t>51080022T000006760602-公共文化服务体系建设补助资金</w:t>
            </w:r>
          </w:p>
        </w:tc>
      </w:tr>
      <w:tr>
        <w:tblPrEx>
          <w:tblCellMar>
            <w:top w:w="0" w:type="dxa"/>
            <w:left w:w="108" w:type="dxa"/>
            <w:bottom w:w="0" w:type="dxa"/>
            <w:right w:w="108" w:type="dxa"/>
          </w:tblCellMar>
        </w:tblPrEx>
        <w:trPr>
          <w:trHeight w:val="514" w:hRule="atLeast"/>
        </w:trPr>
        <w:tc>
          <w:tcPr>
            <w:tcW w:w="93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1945" w:type="pct"/>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中国共产党广元市委员会宣传部部门</w:t>
            </w:r>
          </w:p>
        </w:tc>
        <w:tc>
          <w:tcPr>
            <w:tcW w:w="530" w:type="pct"/>
            <w:gridSpan w:val="2"/>
            <w:tcBorders>
              <w:top w:val="nil"/>
              <w:left w:val="nil"/>
              <w:bottom w:val="nil"/>
              <w:right w:val="nil"/>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 xml:space="preserve">实施单位 </w:t>
            </w:r>
          </w:p>
        </w:tc>
        <w:tc>
          <w:tcPr>
            <w:tcW w:w="159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广元市作家协会</w:t>
            </w:r>
          </w:p>
        </w:tc>
      </w:tr>
      <w:tr>
        <w:tblPrEx>
          <w:tblCellMar>
            <w:top w:w="0" w:type="dxa"/>
            <w:left w:w="108" w:type="dxa"/>
            <w:bottom w:w="0" w:type="dxa"/>
            <w:right w:w="108" w:type="dxa"/>
          </w:tblCellMar>
        </w:tblPrEx>
        <w:trPr>
          <w:trHeight w:val="285" w:hRule="atLeast"/>
        </w:trPr>
        <w:tc>
          <w:tcPr>
            <w:tcW w:w="356" w:type="pct"/>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574" w:type="pct"/>
            <w:gridSpan w:val="2"/>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1945" w:type="pct"/>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2122" w:type="pct"/>
            <w:gridSpan w:val="6"/>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r>
      <w:tr>
        <w:tblPrEx>
          <w:tblCellMar>
            <w:top w:w="0" w:type="dxa"/>
            <w:left w:w="108" w:type="dxa"/>
            <w:bottom w:w="0" w:type="dxa"/>
            <w:right w:w="108" w:type="dxa"/>
          </w:tblCellMar>
        </w:tblPrEx>
        <w:trPr>
          <w:trHeight w:val="90" w:hRule="atLeast"/>
        </w:trPr>
        <w:tc>
          <w:tcPr>
            <w:tcW w:w="356" w:type="pct"/>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574" w:type="pct"/>
            <w:gridSpan w:val="2"/>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945" w:type="pct"/>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紧紧围绕学习宣传贯彻党的二十大精神的主题，</w:t>
            </w:r>
            <w:r>
              <w:rPr>
                <w:rFonts w:hint="eastAsia" w:ascii="宋体" w:hAnsi="宋体" w:cs="宋体"/>
                <w:color w:val="000000"/>
                <w:kern w:val="0"/>
                <w:sz w:val="18"/>
                <w:szCs w:val="18"/>
                <w:lang w:eastAsia="zh-CN"/>
              </w:rPr>
              <w:t>开展</w:t>
            </w:r>
            <w:r>
              <w:rPr>
                <w:rFonts w:hint="eastAsia" w:ascii="宋体" w:hAnsi="宋体" w:cs="宋体"/>
                <w:color w:val="000000"/>
                <w:kern w:val="0"/>
                <w:sz w:val="18"/>
                <w:szCs w:val="18"/>
              </w:rPr>
              <w:t>系列文</w:t>
            </w:r>
            <w:r>
              <w:rPr>
                <w:rFonts w:hint="eastAsia" w:ascii="宋体" w:hAnsi="宋体" w:cs="宋体"/>
                <w:color w:val="000000"/>
                <w:kern w:val="0"/>
                <w:sz w:val="18"/>
                <w:szCs w:val="18"/>
                <w:lang w:eastAsia="zh-CN"/>
              </w:rPr>
              <w:t>学</w:t>
            </w:r>
            <w:r>
              <w:rPr>
                <w:rFonts w:hint="eastAsia" w:ascii="宋体" w:hAnsi="宋体" w:cs="宋体"/>
                <w:color w:val="000000"/>
                <w:kern w:val="0"/>
                <w:sz w:val="18"/>
                <w:szCs w:val="18"/>
              </w:rPr>
              <w:t>惠民活动。</w:t>
            </w:r>
          </w:p>
        </w:tc>
        <w:tc>
          <w:tcPr>
            <w:tcW w:w="2122" w:type="pct"/>
            <w:gridSpan w:val="6"/>
            <w:tcBorders>
              <w:top w:val="single" w:color="000000" w:sz="4" w:space="0"/>
              <w:left w:val="nil"/>
              <w:bottom w:val="single" w:color="000000" w:sz="4" w:space="0"/>
              <w:right w:val="single" w:color="000000" w:sz="4" w:space="0"/>
            </w:tcBorders>
            <w:shd w:val="clear" w:color="auto" w:fill="auto"/>
            <w:vAlign w:val="center"/>
          </w:tcPr>
          <w:p>
            <w:pPr>
              <w:widowControl/>
              <w:jc w:val="left"/>
              <w:rPr>
                <w:rFonts w:hint="default" w:ascii="Courier New" w:hAnsi="Courier New" w:eastAsia="宋体" w:cs="Courier New"/>
                <w:color w:val="000000"/>
                <w:kern w:val="0"/>
                <w:sz w:val="18"/>
                <w:szCs w:val="18"/>
                <w:lang w:val="en-US" w:eastAsia="zh-CN"/>
              </w:rPr>
            </w:pPr>
            <w:r>
              <w:rPr>
                <w:rFonts w:hint="eastAsia" w:ascii="宋体" w:hAnsi="宋体" w:cs="宋体"/>
                <w:color w:val="000000"/>
                <w:kern w:val="0"/>
                <w:sz w:val="18"/>
                <w:szCs w:val="18"/>
                <w:lang w:eastAsia="zh-CN"/>
              </w:rPr>
              <w:t>营造2023年元旦春节期间的团结奋进、喜庆祥和节日氛围，紧紧围绕市委市政府中心工作，举办</w:t>
            </w:r>
            <w:r>
              <w:rPr>
                <w:rFonts w:hint="eastAsia" w:ascii="宋体" w:hAnsi="宋体" w:cs="宋体"/>
                <w:color w:val="000000"/>
                <w:kern w:val="0"/>
                <w:sz w:val="18"/>
                <w:szCs w:val="18"/>
                <w:lang w:val="en-US" w:eastAsia="zh-CN"/>
              </w:rPr>
              <w:t>7场文化惠民活动，</w:t>
            </w:r>
            <w:r>
              <w:rPr>
                <w:rFonts w:hint="eastAsia" w:ascii="宋体" w:hAnsi="宋体" w:cs="宋体"/>
                <w:color w:val="000000"/>
                <w:kern w:val="0"/>
                <w:sz w:val="18"/>
                <w:szCs w:val="18"/>
                <w:lang w:eastAsia="zh-CN"/>
              </w:rPr>
              <w:t>以丰富多彩的文化活动激发群众学习宣传贯彻党的二十大精神热情，坚定文化自信，传承优秀传统文化</w:t>
            </w:r>
            <w:r>
              <w:rPr>
                <w:rFonts w:hint="eastAsia" w:ascii="宋体" w:hAnsi="宋体" w:cs="宋体"/>
                <w:color w:val="000000"/>
                <w:kern w:val="0"/>
                <w:sz w:val="18"/>
                <w:szCs w:val="18"/>
                <w:lang w:val="en-US" w:eastAsia="zh-CN"/>
              </w:rPr>
              <w:t>。</w:t>
            </w:r>
          </w:p>
        </w:tc>
      </w:tr>
      <w:tr>
        <w:tblPrEx>
          <w:tblCellMar>
            <w:top w:w="0" w:type="dxa"/>
            <w:left w:w="108" w:type="dxa"/>
            <w:bottom w:w="0" w:type="dxa"/>
            <w:right w:w="108" w:type="dxa"/>
          </w:tblCellMar>
        </w:tblPrEx>
        <w:trPr>
          <w:trHeight w:val="694" w:hRule="atLeast"/>
        </w:trPr>
        <w:tc>
          <w:tcPr>
            <w:tcW w:w="356" w:type="pct"/>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574" w:type="pct"/>
            <w:gridSpan w:val="2"/>
            <w:tcBorders>
              <w:top w:val="nil"/>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4068" w:type="pct"/>
            <w:gridSpan w:val="11"/>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r>
              <w:rPr>
                <w:rFonts w:hint="eastAsia" w:ascii="宋体" w:hAnsi="宋体" w:cs="宋体"/>
                <w:color w:val="000000"/>
                <w:kern w:val="0"/>
                <w:sz w:val="18"/>
                <w:szCs w:val="18"/>
                <w:lang w:eastAsia="zh-CN"/>
              </w:rPr>
              <w:t>营造2023年元旦春节期间的团结奋进、喜庆祥和节日氛围，紧紧围绕市委市政府中心工作，举办</w:t>
            </w:r>
            <w:r>
              <w:rPr>
                <w:rFonts w:hint="eastAsia" w:ascii="宋体" w:hAnsi="宋体" w:cs="宋体"/>
                <w:color w:val="000000"/>
                <w:kern w:val="0"/>
                <w:sz w:val="18"/>
                <w:szCs w:val="18"/>
                <w:lang w:val="en-US" w:eastAsia="zh-CN"/>
              </w:rPr>
              <w:t>7场文化惠民活动，</w:t>
            </w:r>
            <w:r>
              <w:rPr>
                <w:rFonts w:hint="eastAsia" w:ascii="宋体" w:hAnsi="宋体" w:cs="宋体"/>
                <w:color w:val="000000"/>
                <w:kern w:val="0"/>
                <w:sz w:val="18"/>
                <w:szCs w:val="18"/>
                <w:lang w:eastAsia="zh-CN"/>
              </w:rPr>
              <w:t>以丰富多彩的文化活动激发群众学习宣传贯彻党的二十大精神热情，坚定文化自信，传承优秀传统文化</w:t>
            </w:r>
            <w:r>
              <w:rPr>
                <w:rFonts w:hint="eastAsia" w:ascii="宋体" w:hAnsi="宋体" w:cs="宋体"/>
                <w:color w:val="000000"/>
                <w:kern w:val="0"/>
                <w:sz w:val="18"/>
                <w:szCs w:val="18"/>
                <w:lang w:val="en-US" w:eastAsia="zh-CN"/>
              </w:rPr>
              <w:t>。</w:t>
            </w:r>
          </w:p>
        </w:tc>
      </w:tr>
      <w:tr>
        <w:tblPrEx>
          <w:tblCellMar>
            <w:top w:w="0" w:type="dxa"/>
            <w:left w:w="108" w:type="dxa"/>
            <w:bottom w:w="0" w:type="dxa"/>
            <w:right w:w="108" w:type="dxa"/>
          </w:tblCellMar>
        </w:tblPrEx>
        <w:trPr>
          <w:trHeight w:val="360" w:hRule="atLeast"/>
        </w:trPr>
        <w:tc>
          <w:tcPr>
            <w:tcW w:w="356" w:type="pct"/>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574"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600"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623"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1082" w:type="pct"/>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360"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287"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359"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755"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356" w:type="pct"/>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574"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600"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20.00</w:t>
            </w:r>
          </w:p>
        </w:tc>
        <w:tc>
          <w:tcPr>
            <w:tcW w:w="623"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20.00</w:t>
            </w:r>
          </w:p>
        </w:tc>
        <w:tc>
          <w:tcPr>
            <w:tcW w:w="1082" w:type="pct"/>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20.00</w:t>
            </w:r>
          </w:p>
        </w:tc>
        <w:tc>
          <w:tcPr>
            <w:tcW w:w="360"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287"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359"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755" w:type="pct"/>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90" w:hRule="atLeast"/>
        </w:trPr>
        <w:tc>
          <w:tcPr>
            <w:tcW w:w="356" w:type="pct"/>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574"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600"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20.00</w:t>
            </w:r>
          </w:p>
        </w:tc>
        <w:tc>
          <w:tcPr>
            <w:tcW w:w="623"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20.00</w:t>
            </w:r>
          </w:p>
        </w:tc>
        <w:tc>
          <w:tcPr>
            <w:tcW w:w="1082" w:type="pct"/>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20.00</w:t>
            </w:r>
          </w:p>
        </w:tc>
        <w:tc>
          <w:tcPr>
            <w:tcW w:w="360"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287"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59"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55" w:type="pct"/>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409" w:hRule="atLeast"/>
        </w:trPr>
        <w:tc>
          <w:tcPr>
            <w:tcW w:w="356" w:type="pct"/>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574"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600"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623"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082" w:type="pct"/>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360"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87"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59"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55" w:type="pct"/>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356" w:type="pct"/>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574"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600"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623"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082" w:type="pct"/>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360"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87"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59"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55" w:type="pct"/>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38" w:hRule="atLeast"/>
        </w:trPr>
        <w:tc>
          <w:tcPr>
            <w:tcW w:w="356" w:type="pct"/>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574"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600" w:type="pct"/>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623" w:type="pct"/>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082" w:type="pct"/>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360"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87"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59"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55" w:type="pct"/>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454" w:hRule="atLeast"/>
        </w:trPr>
        <w:tc>
          <w:tcPr>
            <w:tcW w:w="356" w:type="pct"/>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574"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600"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623"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362"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359"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359"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360"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287"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359"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755"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8" w:hRule="atLeast"/>
        </w:trPr>
        <w:tc>
          <w:tcPr>
            <w:tcW w:w="356" w:type="pct"/>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574"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600"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623"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开展活动场次</w:t>
            </w:r>
          </w:p>
        </w:tc>
        <w:tc>
          <w:tcPr>
            <w:tcW w:w="362"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59" w:type="pct"/>
            <w:tcBorders>
              <w:top w:val="nil"/>
              <w:left w:val="nil"/>
              <w:bottom w:val="single" w:color="000000" w:sz="4" w:space="0"/>
              <w:right w:val="single" w:color="000000" w:sz="4" w:space="0"/>
            </w:tcBorders>
            <w:shd w:val="clear" w:color="auto" w:fill="auto"/>
            <w:vAlign w:val="center"/>
          </w:tcPr>
          <w:p>
            <w:pPr>
              <w:widowControl/>
              <w:jc w:val="center"/>
              <w:rPr>
                <w:rFonts w:hint="eastAsia" w:ascii="宋体" w:hAnsi="宋体" w:eastAsia="宋体" w:cs="宋体"/>
                <w:color w:val="000000"/>
                <w:kern w:val="0"/>
                <w:sz w:val="18"/>
                <w:szCs w:val="18"/>
                <w:lang w:eastAsia="zh-CN"/>
              </w:rPr>
            </w:pPr>
            <w:r>
              <w:rPr>
                <w:rFonts w:hint="eastAsia" w:ascii="宋体" w:hAnsi="宋体" w:cs="宋体"/>
                <w:color w:val="000000"/>
                <w:kern w:val="0"/>
                <w:sz w:val="18"/>
                <w:szCs w:val="18"/>
                <w:lang w:val="en-US" w:eastAsia="zh-CN"/>
              </w:rPr>
              <w:t>7</w:t>
            </w:r>
          </w:p>
        </w:tc>
        <w:tc>
          <w:tcPr>
            <w:tcW w:w="359"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场次</w:t>
            </w:r>
          </w:p>
        </w:tc>
        <w:tc>
          <w:tcPr>
            <w:tcW w:w="360" w:type="pct"/>
            <w:gridSpan w:val="2"/>
            <w:tcBorders>
              <w:top w:val="nil"/>
              <w:left w:val="nil"/>
              <w:bottom w:val="single" w:color="000000" w:sz="4" w:space="0"/>
              <w:right w:val="single" w:color="000000" w:sz="4" w:space="0"/>
            </w:tcBorders>
            <w:shd w:val="clear" w:color="auto" w:fill="auto"/>
            <w:vAlign w:val="center"/>
          </w:tcPr>
          <w:p>
            <w:pPr>
              <w:widowControl/>
              <w:jc w:val="center"/>
              <w:rPr>
                <w:rFonts w:hint="eastAsia" w:ascii="微软雅黑" w:hAnsi="微软雅黑" w:eastAsia="微软雅黑" w:cs="宋体"/>
                <w:i/>
                <w:iCs/>
                <w:color w:val="000000"/>
                <w:kern w:val="0"/>
                <w:sz w:val="16"/>
                <w:szCs w:val="16"/>
                <w:lang w:val="en-US" w:eastAsia="zh-CN"/>
              </w:rPr>
            </w:pPr>
            <w:r>
              <w:rPr>
                <w:rFonts w:hint="eastAsia" w:ascii="微软雅黑" w:hAnsi="微软雅黑" w:eastAsia="微软雅黑" w:cs="宋体"/>
                <w:i/>
                <w:iCs/>
                <w:color w:val="000000"/>
                <w:kern w:val="0"/>
                <w:sz w:val="16"/>
                <w:szCs w:val="16"/>
              </w:rPr>
              <w:t>　</w:t>
            </w:r>
            <w:r>
              <w:rPr>
                <w:rFonts w:hint="eastAsia" w:ascii="微软雅黑" w:hAnsi="微软雅黑" w:eastAsia="微软雅黑" w:cs="宋体"/>
                <w:i/>
                <w:iCs/>
                <w:color w:val="000000"/>
                <w:kern w:val="0"/>
                <w:sz w:val="16"/>
                <w:szCs w:val="16"/>
                <w:lang w:val="en-US" w:eastAsia="zh-CN"/>
              </w:rPr>
              <w:t>7</w:t>
            </w:r>
          </w:p>
        </w:tc>
        <w:tc>
          <w:tcPr>
            <w:tcW w:w="287"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40</w:t>
            </w:r>
          </w:p>
        </w:tc>
        <w:tc>
          <w:tcPr>
            <w:tcW w:w="359" w:type="pct"/>
            <w:tcBorders>
              <w:top w:val="nil"/>
              <w:left w:val="nil"/>
              <w:bottom w:val="single" w:color="000000" w:sz="4" w:space="0"/>
              <w:right w:val="single" w:color="000000" w:sz="4" w:space="0"/>
            </w:tcBorders>
            <w:shd w:val="clear" w:color="auto" w:fill="auto"/>
            <w:vAlign w:val="center"/>
          </w:tcPr>
          <w:p>
            <w:pPr>
              <w:widowControl/>
              <w:jc w:val="center"/>
              <w:rPr>
                <w:rFonts w:hint="default" w:ascii="宋体" w:hAnsi="宋体" w:cs="宋体"/>
                <w:color w:val="000000"/>
                <w:kern w:val="0"/>
                <w:sz w:val="18"/>
                <w:szCs w:val="18"/>
                <w:lang w:val="en-US"/>
              </w:rPr>
            </w:pPr>
            <w:r>
              <w:rPr>
                <w:rFonts w:hint="eastAsia" w:ascii="宋体" w:hAnsi="宋体" w:cs="宋体"/>
                <w:color w:val="000000"/>
                <w:kern w:val="0"/>
                <w:sz w:val="18"/>
                <w:szCs w:val="18"/>
                <w:lang w:val="en-US" w:eastAsia="zh-CN"/>
              </w:rPr>
              <w:t>20</w:t>
            </w:r>
          </w:p>
        </w:tc>
        <w:tc>
          <w:tcPr>
            <w:tcW w:w="755" w:type="pct"/>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454" w:hRule="atLeast"/>
        </w:trPr>
        <w:tc>
          <w:tcPr>
            <w:tcW w:w="356" w:type="pct"/>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574"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600"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623"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营造祥和、健康、积极的文化氛围</w:t>
            </w:r>
          </w:p>
        </w:tc>
        <w:tc>
          <w:tcPr>
            <w:tcW w:w="362"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359"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好</w:t>
            </w:r>
          </w:p>
        </w:tc>
        <w:tc>
          <w:tcPr>
            <w:tcW w:w="359"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360"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87"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359"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28</w:t>
            </w:r>
            <w:r>
              <w:rPr>
                <w:rFonts w:hint="eastAsia" w:ascii="宋体" w:hAnsi="宋体" w:cs="宋体"/>
                <w:color w:val="000000"/>
                <w:kern w:val="0"/>
                <w:sz w:val="18"/>
                <w:szCs w:val="18"/>
              </w:rPr>
              <w:t>　</w:t>
            </w:r>
          </w:p>
        </w:tc>
        <w:tc>
          <w:tcPr>
            <w:tcW w:w="755" w:type="pct"/>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356" w:type="pct"/>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574"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600"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623"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群众满意度</w:t>
            </w:r>
          </w:p>
        </w:tc>
        <w:tc>
          <w:tcPr>
            <w:tcW w:w="362"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59"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90</w:t>
            </w:r>
          </w:p>
        </w:tc>
        <w:tc>
          <w:tcPr>
            <w:tcW w:w="359"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60"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87"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359"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20</w:t>
            </w:r>
            <w:r>
              <w:rPr>
                <w:rFonts w:hint="eastAsia" w:ascii="宋体" w:hAnsi="宋体" w:cs="宋体"/>
                <w:color w:val="000000"/>
                <w:kern w:val="0"/>
                <w:sz w:val="18"/>
                <w:szCs w:val="18"/>
              </w:rPr>
              <w:t>　</w:t>
            </w:r>
          </w:p>
        </w:tc>
        <w:tc>
          <w:tcPr>
            <w:tcW w:w="755" w:type="pct"/>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356" w:type="pct"/>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574" w:type="pct"/>
            <w:gridSpan w:val="2"/>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成本指标</w:t>
            </w:r>
          </w:p>
        </w:tc>
        <w:tc>
          <w:tcPr>
            <w:tcW w:w="600" w:type="pct"/>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经济成本指标</w:t>
            </w:r>
          </w:p>
        </w:tc>
        <w:tc>
          <w:tcPr>
            <w:tcW w:w="623"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文化惠民活动支出</w:t>
            </w:r>
          </w:p>
        </w:tc>
        <w:tc>
          <w:tcPr>
            <w:tcW w:w="362"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59"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15</w:t>
            </w:r>
          </w:p>
        </w:tc>
        <w:tc>
          <w:tcPr>
            <w:tcW w:w="359"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360"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87"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359"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10</w:t>
            </w:r>
            <w:r>
              <w:rPr>
                <w:rFonts w:hint="eastAsia" w:ascii="宋体" w:hAnsi="宋体" w:cs="宋体"/>
                <w:color w:val="000000"/>
                <w:kern w:val="0"/>
                <w:sz w:val="18"/>
                <w:szCs w:val="18"/>
              </w:rPr>
              <w:t>　</w:t>
            </w:r>
          </w:p>
        </w:tc>
        <w:tc>
          <w:tcPr>
            <w:tcW w:w="755" w:type="pct"/>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356" w:type="pct"/>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574" w:type="pct"/>
            <w:gridSpan w:val="2"/>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600" w:type="pct"/>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623"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文艺家送文化下乡支出</w:t>
            </w:r>
          </w:p>
        </w:tc>
        <w:tc>
          <w:tcPr>
            <w:tcW w:w="362"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59"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359"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360"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87"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359"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10</w:t>
            </w:r>
            <w:r>
              <w:rPr>
                <w:rFonts w:hint="eastAsia" w:ascii="宋体" w:hAnsi="宋体" w:cs="宋体"/>
                <w:color w:val="000000"/>
                <w:kern w:val="0"/>
                <w:sz w:val="18"/>
                <w:szCs w:val="18"/>
              </w:rPr>
              <w:t>　</w:t>
            </w:r>
          </w:p>
        </w:tc>
        <w:tc>
          <w:tcPr>
            <w:tcW w:w="755" w:type="pct"/>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285" w:hRule="atLeast"/>
        </w:trPr>
        <w:tc>
          <w:tcPr>
            <w:tcW w:w="3597"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287"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359" w:type="pct"/>
            <w:tcBorders>
              <w:top w:val="nil"/>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c>
          <w:tcPr>
            <w:tcW w:w="755" w:type="pct"/>
            <w:tcBorders>
              <w:top w:val="nil"/>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604" w:hRule="atLeast"/>
        </w:trPr>
        <w:tc>
          <w:tcPr>
            <w:tcW w:w="521" w:type="pct"/>
            <w:gridSpan w:val="2"/>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4478" w:type="pct"/>
            <w:gridSpan w:val="12"/>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val="0"/>
                <w:iCs w:val="0"/>
                <w:color w:val="000000"/>
                <w:kern w:val="0"/>
                <w:sz w:val="16"/>
                <w:szCs w:val="16"/>
              </w:rPr>
            </w:pPr>
            <w:r>
              <w:rPr>
                <w:rFonts w:hint="eastAsia" w:ascii="微软雅黑" w:hAnsi="微软雅黑" w:eastAsia="微软雅黑" w:cs="宋体"/>
                <w:i w:val="0"/>
                <w:iCs w:val="0"/>
                <w:color w:val="000000"/>
                <w:kern w:val="0"/>
                <w:sz w:val="16"/>
                <w:szCs w:val="16"/>
              </w:rPr>
              <w:t>结合自评情况，说明项目自评总分</w:t>
            </w:r>
            <w:r>
              <w:rPr>
                <w:rFonts w:hint="eastAsia" w:ascii="微软雅黑" w:hAnsi="微软雅黑" w:eastAsia="微软雅黑" w:cs="宋体"/>
                <w:i w:val="0"/>
                <w:iCs w:val="0"/>
                <w:color w:val="000000"/>
                <w:kern w:val="0"/>
                <w:sz w:val="16"/>
                <w:szCs w:val="16"/>
                <w:lang w:val="en-US" w:eastAsia="zh-CN"/>
              </w:rPr>
              <w:t>98分</w:t>
            </w:r>
            <w:r>
              <w:rPr>
                <w:rFonts w:hint="eastAsia" w:ascii="微软雅黑" w:hAnsi="微软雅黑" w:eastAsia="微软雅黑" w:cs="宋体"/>
                <w:i w:val="0"/>
                <w:iCs w:val="0"/>
                <w:color w:val="000000"/>
                <w:kern w:val="0"/>
                <w:sz w:val="16"/>
                <w:szCs w:val="16"/>
              </w:rPr>
              <w:t>，营造</w:t>
            </w:r>
            <w:r>
              <w:rPr>
                <w:rFonts w:hint="eastAsia" w:ascii="微软雅黑" w:hAnsi="微软雅黑" w:eastAsia="微软雅黑" w:cs="宋体"/>
                <w:i w:val="0"/>
                <w:iCs w:val="0"/>
                <w:color w:val="000000"/>
                <w:kern w:val="0"/>
                <w:sz w:val="16"/>
                <w:szCs w:val="16"/>
                <w:lang w:eastAsia="zh-CN"/>
              </w:rPr>
              <w:t>了</w:t>
            </w:r>
            <w:r>
              <w:rPr>
                <w:rFonts w:hint="eastAsia" w:ascii="微软雅黑" w:hAnsi="微软雅黑" w:eastAsia="微软雅黑" w:cs="宋体"/>
                <w:i w:val="0"/>
                <w:iCs w:val="0"/>
                <w:color w:val="000000"/>
                <w:kern w:val="0"/>
                <w:sz w:val="16"/>
                <w:szCs w:val="16"/>
              </w:rPr>
              <w:t>2023年元旦春节期间的团结奋进、喜庆祥和节日氛围。</w:t>
            </w:r>
          </w:p>
        </w:tc>
      </w:tr>
      <w:tr>
        <w:tblPrEx>
          <w:tblCellMar>
            <w:top w:w="0" w:type="dxa"/>
            <w:left w:w="108" w:type="dxa"/>
            <w:bottom w:w="0" w:type="dxa"/>
            <w:right w:w="108" w:type="dxa"/>
          </w:tblCellMar>
        </w:tblPrEx>
        <w:trPr>
          <w:trHeight w:val="574" w:hRule="atLeast"/>
        </w:trPr>
        <w:tc>
          <w:tcPr>
            <w:tcW w:w="521" w:type="pct"/>
            <w:gridSpan w:val="2"/>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4478" w:type="pct"/>
            <w:gridSpan w:val="12"/>
            <w:tcBorders>
              <w:top w:val="single" w:color="000000" w:sz="4" w:space="0"/>
              <w:left w:val="nil"/>
              <w:bottom w:val="single" w:color="000000" w:sz="4" w:space="0"/>
              <w:right w:val="single" w:color="000000" w:sz="4" w:space="0"/>
            </w:tcBorders>
            <w:shd w:val="clear" w:color="auto" w:fill="auto"/>
            <w:vAlign w:val="center"/>
          </w:tcPr>
          <w:p>
            <w:pPr>
              <w:rPr>
                <w:rFonts w:ascii="微软雅黑" w:hAnsi="微软雅黑" w:eastAsia="微软雅黑" w:cs="宋体"/>
                <w:i w:val="0"/>
                <w:iCs w:val="0"/>
                <w:color w:val="000000"/>
                <w:kern w:val="0"/>
                <w:sz w:val="16"/>
                <w:szCs w:val="16"/>
              </w:rPr>
            </w:pPr>
            <w:r>
              <w:rPr>
                <w:rFonts w:hint="eastAsia"/>
                <w:color w:val="000000"/>
                <w:sz w:val="18"/>
                <w:szCs w:val="18"/>
              </w:rPr>
              <w:t>预算绩效管理工作中，还存在工作标准不高、不精细等问题。</w:t>
            </w:r>
          </w:p>
        </w:tc>
      </w:tr>
      <w:tr>
        <w:tblPrEx>
          <w:tblCellMar>
            <w:top w:w="0" w:type="dxa"/>
            <w:left w:w="108" w:type="dxa"/>
            <w:bottom w:w="0" w:type="dxa"/>
            <w:right w:w="108" w:type="dxa"/>
          </w:tblCellMar>
        </w:tblPrEx>
        <w:trPr>
          <w:trHeight w:val="403" w:hRule="atLeast"/>
        </w:trPr>
        <w:tc>
          <w:tcPr>
            <w:tcW w:w="521" w:type="pct"/>
            <w:gridSpan w:val="2"/>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4478" w:type="pct"/>
            <w:gridSpan w:val="12"/>
            <w:tcBorders>
              <w:top w:val="single" w:color="000000" w:sz="4" w:space="0"/>
              <w:left w:val="nil"/>
              <w:bottom w:val="single" w:color="000000" w:sz="4" w:space="0"/>
              <w:right w:val="single" w:color="000000" w:sz="4" w:space="0"/>
            </w:tcBorders>
            <w:shd w:val="clear" w:color="auto" w:fill="auto"/>
            <w:vAlign w:val="center"/>
          </w:tcPr>
          <w:p>
            <w:pPr>
              <w:rPr>
                <w:rFonts w:ascii="微软雅黑" w:hAnsi="微软雅黑" w:eastAsia="微软雅黑" w:cs="宋体"/>
                <w:i w:val="0"/>
                <w:iCs w:val="0"/>
                <w:color w:val="000000"/>
                <w:kern w:val="0"/>
                <w:sz w:val="16"/>
                <w:szCs w:val="16"/>
              </w:rPr>
            </w:pPr>
            <w:r>
              <w:rPr>
                <w:rFonts w:hint="eastAsia"/>
                <w:color w:val="000000"/>
                <w:sz w:val="18"/>
                <w:szCs w:val="18"/>
              </w:rPr>
              <w:t>针对查找的问题，加强学习，提出改进措施及相关政策意见与建议；加强项目实施的精细规划。</w:t>
            </w:r>
          </w:p>
        </w:tc>
      </w:tr>
      <w:tr>
        <w:tblPrEx>
          <w:tblCellMar>
            <w:top w:w="0" w:type="dxa"/>
            <w:left w:w="108" w:type="dxa"/>
            <w:bottom w:w="0" w:type="dxa"/>
            <w:right w:w="108" w:type="dxa"/>
          </w:tblCellMar>
        </w:tblPrEx>
        <w:trPr>
          <w:trHeight w:val="285" w:hRule="atLeast"/>
        </w:trPr>
        <w:tc>
          <w:tcPr>
            <w:tcW w:w="234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项目负责人：</w:t>
            </w:r>
          </w:p>
        </w:tc>
        <w:tc>
          <w:tcPr>
            <w:tcW w:w="2654" w:type="pct"/>
            <w:gridSpan w:val="8"/>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财务负责人：</w:t>
            </w:r>
          </w:p>
        </w:tc>
      </w:tr>
    </w:tbl>
    <w:p>
      <w:pPr>
        <w:pStyle w:val="2"/>
        <w:spacing w:before="319"/>
        <w:ind w:left="0" w:firstLine="0"/>
        <w:rPr>
          <w:rFonts w:hint="eastAsia"/>
        </w:rPr>
      </w:pPr>
    </w:p>
    <w:p>
      <w:pPr>
        <w:pStyle w:val="2"/>
        <w:spacing w:before="319"/>
        <w:ind w:left="0" w:firstLine="0"/>
        <w:rPr>
          <w:rFonts w:hint="eastAsia"/>
        </w:rPr>
      </w:pPr>
    </w:p>
    <w:p>
      <w:pPr>
        <w:pStyle w:val="2"/>
        <w:spacing w:before="319"/>
        <w:ind w:left="0" w:firstLine="0"/>
        <w:rPr>
          <w:rFonts w:hint="eastAsia"/>
        </w:rPr>
      </w:pPr>
    </w:p>
    <w:p>
      <w:pPr>
        <w:pStyle w:val="2"/>
        <w:spacing w:before="319"/>
        <w:ind w:left="0" w:firstLine="0"/>
        <w:rPr>
          <w:rFonts w:hint="eastAsia"/>
        </w:rPr>
      </w:pPr>
    </w:p>
    <w:p>
      <w:pPr>
        <w:pStyle w:val="2"/>
        <w:spacing w:before="319"/>
        <w:ind w:left="0" w:firstLine="0"/>
        <w:rPr>
          <w:rFonts w:hint="eastAsia"/>
        </w:rPr>
      </w:pPr>
    </w:p>
    <w:p>
      <w:pPr>
        <w:pStyle w:val="2"/>
        <w:spacing w:before="319"/>
        <w:ind w:left="0" w:firstLine="0"/>
        <w:rPr>
          <w:rFonts w:hint="eastAsia"/>
        </w:rPr>
      </w:pPr>
    </w:p>
    <w:p>
      <w:pPr>
        <w:pStyle w:val="2"/>
        <w:spacing w:before="319"/>
        <w:ind w:left="0" w:firstLine="0"/>
        <w:rPr>
          <w:rFonts w:hint="eastAsia"/>
        </w:rPr>
      </w:pPr>
    </w:p>
    <w:p>
      <w:pPr>
        <w:pStyle w:val="2"/>
        <w:spacing w:before="319"/>
        <w:ind w:left="0" w:firstLine="0"/>
        <w:rPr>
          <w:rFonts w:hint="eastAsia"/>
        </w:rPr>
      </w:pPr>
    </w:p>
    <w:p>
      <w:pPr>
        <w:pStyle w:val="2"/>
        <w:spacing w:before="319"/>
        <w:ind w:left="0" w:firstLine="0"/>
        <w:rPr>
          <w:rFonts w:hint="eastAsia"/>
        </w:rPr>
      </w:pPr>
    </w:p>
    <w:p>
      <w:pPr>
        <w:pStyle w:val="2"/>
        <w:spacing w:before="319"/>
        <w:ind w:left="0" w:firstLine="0"/>
        <w:rPr>
          <w:rFonts w:hint="eastAsia"/>
        </w:rPr>
      </w:pPr>
    </w:p>
    <w:p>
      <w:pPr>
        <w:pStyle w:val="2"/>
        <w:spacing w:before="319"/>
        <w:ind w:left="0" w:firstLine="0"/>
        <w:rPr>
          <w:rFonts w:hint="eastAsia"/>
        </w:rPr>
      </w:pPr>
    </w:p>
    <w:p>
      <w:pPr>
        <w:pStyle w:val="2"/>
        <w:spacing w:before="319"/>
        <w:ind w:left="0" w:firstLine="0"/>
        <w:rPr>
          <w:rFonts w:hint="eastAsia"/>
        </w:rPr>
      </w:pPr>
    </w:p>
    <w:p>
      <w:pPr>
        <w:pStyle w:val="2"/>
        <w:spacing w:before="319"/>
        <w:ind w:left="0" w:firstLine="0"/>
        <w:rPr>
          <w:rFonts w:hint="eastAsia"/>
        </w:rPr>
      </w:pPr>
    </w:p>
    <w:p>
      <w:pPr>
        <w:pStyle w:val="2"/>
        <w:spacing w:before="319"/>
        <w:ind w:left="0" w:firstLine="0"/>
        <w:rPr>
          <w:rFonts w:hint="eastAsia"/>
        </w:rPr>
      </w:pPr>
    </w:p>
    <w:p>
      <w:pPr>
        <w:pStyle w:val="2"/>
        <w:spacing w:before="319"/>
        <w:ind w:left="0" w:firstLine="0"/>
        <w:rPr>
          <w:rFonts w:hint="eastAsia"/>
        </w:rPr>
      </w:pPr>
    </w:p>
    <w:p>
      <w:pPr>
        <w:pStyle w:val="2"/>
        <w:spacing w:before="319"/>
        <w:ind w:left="0" w:firstLine="0"/>
        <w:rPr>
          <w:rFonts w:hint="eastAsia"/>
        </w:rPr>
      </w:pPr>
    </w:p>
    <w:p>
      <w:pPr>
        <w:pStyle w:val="2"/>
        <w:spacing w:before="319"/>
        <w:ind w:left="0" w:firstLine="0"/>
        <w:rPr>
          <w:rFonts w:hint="eastAsia"/>
        </w:rPr>
      </w:pPr>
    </w:p>
    <w:p>
      <w:pPr>
        <w:pStyle w:val="2"/>
        <w:spacing w:before="319"/>
        <w:ind w:left="0" w:firstLine="0"/>
        <w:rPr>
          <w:rFonts w:hint="eastAsia"/>
        </w:rPr>
      </w:pPr>
    </w:p>
    <w:p>
      <w:pPr>
        <w:pStyle w:val="2"/>
        <w:spacing w:before="319"/>
        <w:ind w:left="0" w:firstLine="0"/>
        <w:rPr>
          <w:rFonts w:hint="eastAsia"/>
        </w:rPr>
      </w:pPr>
    </w:p>
    <w:p>
      <w:pPr>
        <w:pStyle w:val="2"/>
        <w:spacing w:before="319"/>
        <w:ind w:left="0" w:firstLine="0"/>
      </w:pPr>
      <w:r>
        <w:rPr>
          <w:rFonts w:hint="eastAsia"/>
        </w:rPr>
        <w:t>附件11</w:t>
      </w:r>
    </w:p>
    <w:tbl>
      <w:tblPr>
        <w:tblStyle w:val="13"/>
        <w:tblW w:w="10698" w:type="dxa"/>
        <w:tblInd w:w="-1017" w:type="dxa"/>
        <w:tblLayout w:type="fixed"/>
        <w:tblCellMar>
          <w:top w:w="0" w:type="dxa"/>
          <w:left w:w="108" w:type="dxa"/>
          <w:bottom w:w="0" w:type="dxa"/>
          <w:right w:w="108" w:type="dxa"/>
        </w:tblCellMar>
      </w:tblPr>
      <w:tblGrid>
        <w:gridCol w:w="794"/>
        <w:gridCol w:w="881"/>
        <w:gridCol w:w="83"/>
        <w:gridCol w:w="501"/>
        <w:gridCol w:w="577"/>
        <w:gridCol w:w="137"/>
        <w:gridCol w:w="531"/>
        <w:gridCol w:w="396"/>
        <w:gridCol w:w="863"/>
        <w:gridCol w:w="132"/>
        <w:gridCol w:w="396"/>
        <w:gridCol w:w="181"/>
        <w:gridCol w:w="615"/>
        <w:gridCol w:w="50"/>
        <w:gridCol w:w="186"/>
        <w:gridCol w:w="675"/>
        <w:gridCol w:w="165"/>
        <w:gridCol w:w="577"/>
        <w:gridCol w:w="722"/>
        <w:gridCol w:w="396"/>
        <w:gridCol w:w="16"/>
        <w:gridCol w:w="567"/>
        <w:gridCol w:w="659"/>
        <w:gridCol w:w="192"/>
        <w:gridCol w:w="406"/>
      </w:tblGrid>
      <w:tr>
        <w:tblPrEx>
          <w:tblCellMar>
            <w:top w:w="0" w:type="dxa"/>
            <w:left w:w="108" w:type="dxa"/>
            <w:bottom w:w="0" w:type="dxa"/>
            <w:right w:w="108" w:type="dxa"/>
          </w:tblCellMar>
        </w:tblPrEx>
        <w:trPr>
          <w:gridAfter w:val="2"/>
          <w:wAfter w:w="598" w:type="dxa"/>
          <w:trHeight w:val="503" w:hRule="atLeast"/>
        </w:trPr>
        <w:tc>
          <w:tcPr>
            <w:tcW w:w="10100" w:type="dxa"/>
            <w:gridSpan w:val="2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gridAfter w:val="2"/>
          <w:wAfter w:w="598" w:type="dxa"/>
          <w:trHeight w:val="285" w:hRule="atLeast"/>
        </w:trPr>
        <w:tc>
          <w:tcPr>
            <w:tcW w:w="16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8425" w:type="dxa"/>
            <w:gridSpan w:val="21"/>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51080022T000007130538-中国作家剑门关文学奖</w:t>
            </w:r>
          </w:p>
        </w:tc>
      </w:tr>
      <w:tr>
        <w:tblPrEx>
          <w:tblCellMar>
            <w:top w:w="0" w:type="dxa"/>
            <w:left w:w="108" w:type="dxa"/>
            <w:bottom w:w="0" w:type="dxa"/>
            <w:right w:w="108" w:type="dxa"/>
          </w:tblCellMar>
        </w:tblPrEx>
        <w:trPr>
          <w:gridAfter w:val="2"/>
          <w:wAfter w:w="598" w:type="dxa"/>
          <w:trHeight w:val="514" w:hRule="atLeast"/>
        </w:trPr>
        <w:tc>
          <w:tcPr>
            <w:tcW w:w="16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4412" w:type="dxa"/>
            <w:gridSpan w:val="11"/>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中国共产党广元市委员会宣传部部门</w:t>
            </w:r>
          </w:p>
        </w:tc>
        <w:tc>
          <w:tcPr>
            <w:tcW w:w="1076" w:type="dxa"/>
            <w:gridSpan w:val="4"/>
            <w:tcBorders>
              <w:top w:val="nil"/>
              <w:left w:val="nil"/>
              <w:bottom w:val="nil"/>
              <w:right w:val="nil"/>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 xml:space="preserve">实施单位 </w:t>
            </w:r>
          </w:p>
        </w:tc>
        <w:tc>
          <w:tcPr>
            <w:tcW w:w="293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广元市作家协会</w:t>
            </w:r>
          </w:p>
        </w:tc>
      </w:tr>
      <w:tr>
        <w:tblPrEx>
          <w:tblCellMar>
            <w:top w:w="0" w:type="dxa"/>
            <w:left w:w="108" w:type="dxa"/>
            <w:bottom w:w="0" w:type="dxa"/>
            <w:right w:w="108" w:type="dxa"/>
          </w:tblCellMar>
        </w:tblPrEx>
        <w:trPr>
          <w:gridAfter w:val="2"/>
          <w:wAfter w:w="598" w:type="dxa"/>
          <w:trHeight w:val="285" w:hRule="atLeast"/>
        </w:trPr>
        <w:tc>
          <w:tcPr>
            <w:tcW w:w="794"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964" w:type="dxa"/>
            <w:gridSpan w:val="2"/>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4565" w:type="dxa"/>
            <w:gridSpan w:val="12"/>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3777" w:type="dxa"/>
            <w:gridSpan w:val="8"/>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r>
      <w:tr>
        <w:tblPrEx>
          <w:tblCellMar>
            <w:top w:w="0" w:type="dxa"/>
            <w:left w:w="108" w:type="dxa"/>
            <w:bottom w:w="0" w:type="dxa"/>
            <w:right w:w="108" w:type="dxa"/>
          </w:tblCellMar>
        </w:tblPrEx>
        <w:trPr>
          <w:gridAfter w:val="2"/>
          <w:wAfter w:w="598" w:type="dxa"/>
          <w:trHeight w:val="1188" w:hRule="atLeast"/>
        </w:trPr>
        <w:tc>
          <w:tcPr>
            <w:tcW w:w="794"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964" w:type="dxa"/>
            <w:gridSpan w:val="2"/>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4565" w:type="dxa"/>
            <w:gridSpan w:val="12"/>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xml:space="preserve">中国作家剑门关文学奖由市委、市政府和中国作协《中国作家》杂志社联合设置，举行面向全国性征文及颁奖活动，以达到既用文学形式宣传广元，又鼓励广元本土作家成长目的，每年评奖1次。 </w:t>
            </w:r>
          </w:p>
        </w:tc>
        <w:tc>
          <w:tcPr>
            <w:tcW w:w="3777" w:type="dxa"/>
            <w:gridSpan w:val="8"/>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hint="eastAsia" w:ascii="Courier New" w:hAnsi="Courier New" w:cs="Courier New"/>
                <w:color w:val="000000"/>
                <w:kern w:val="0"/>
                <w:sz w:val="18"/>
                <w:szCs w:val="18"/>
              </w:rPr>
              <w:t>组织开展第十届《中国作家》剑门关文学奖评奖工作，根据《第十届中国作家剑门关文学奖评奖方案》，评选出11件获奖作品。举行颁奖仪式。</w:t>
            </w:r>
          </w:p>
        </w:tc>
      </w:tr>
      <w:tr>
        <w:tblPrEx>
          <w:tblCellMar>
            <w:top w:w="0" w:type="dxa"/>
            <w:left w:w="108" w:type="dxa"/>
            <w:bottom w:w="0" w:type="dxa"/>
            <w:right w:w="108" w:type="dxa"/>
          </w:tblCellMar>
        </w:tblPrEx>
        <w:trPr>
          <w:gridAfter w:val="2"/>
          <w:wAfter w:w="598" w:type="dxa"/>
          <w:trHeight w:val="694" w:hRule="atLeast"/>
        </w:trPr>
        <w:tc>
          <w:tcPr>
            <w:tcW w:w="794"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964" w:type="dxa"/>
            <w:gridSpan w:val="2"/>
            <w:tcBorders>
              <w:top w:val="nil"/>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8342" w:type="dxa"/>
            <w:gridSpan w:val="2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积极组织开展文学评奖工作。组织开展第十届《中国作家》剑门关文学奖评奖工作，根据《第十届中国作家剑门关文学奖评奖方案》，评选出11件获奖作品。举行颁奖仪式。</w:t>
            </w:r>
          </w:p>
        </w:tc>
      </w:tr>
      <w:tr>
        <w:tblPrEx>
          <w:tblCellMar>
            <w:top w:w="0" w:type="dxa"/>
            <w:left w:w="108" w:type="dxa"/>
            <w:bottom w:w="0" w:type="dxa"/>
            <w:right w:w="108" w:type="dxa"/>
          </w:tblCellMar>
        </w:tblPrEx>
        <w:trPr>
          <w:trHeight w:val="360" w:hRule="atLeast"/>
        </w:trPr>
        <w:tc>
          <w:tcPr>
            <w:tcW w:w="794"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964"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215"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1790"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977"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134"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65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598"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794"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964"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215"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90"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60.00</w:t>
            </w:r>
          </w:p>
        </w:tc>
        <w:tc>
          <w:tcPr>
            <w:tcW w:w="2977"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60.00</w:t>
            </w:r>
          </w:p>
        </w:tc>
        <w:tc>
          <w:tcPr>
            <w:tcW w:w="1134"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5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598" w:type="dxa"/>
            <w:gridSpan w:val="2"/>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90" w:hRule="atLeast"/>
        </w:trPr>
        <w:tc>
          <w:tcPr>
            <w:tcW w:w="794"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964"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215"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90"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60.00</w:t>
            </w:r>
          </w:p>
        </w:tc>
        <w:tc>
          <w:tcPr>
            <w:tcW w:w="2977"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60.00</w:t>
            </w:r>
          </w:p>
        </w:tc>
        <w:tc>
          <w:tcPr>
            <w:tcW w:w="1134"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5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98" w:type="dxa"/>
            <w:gridSpan w:val="2"/>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409" w:hRule="atLeast"/>
        </w:trPr>
        <w:tc>
          <w:tcPr>
            <w:tcW w:w="794"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964"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215"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90"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977"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134"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5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98" w:type="dxa"/>
            <w:gridSpan w:val="2"/>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794"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964"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215"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90"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977"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134"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5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98" w:type="dxa"/>
            <w:gridSpan w:val="2"/>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38" w:hRule="atLeast"/>
        </w:trPr>
        <w:tc>
          <w:tcPr>
            <w:tcW w:w="794"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964"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215"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790"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977"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134"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5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98" w:type="dxa"/>
            <w:gridSpan w:val="2"/>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454" w:hRule="atLeast"/>
        </w:trPr>
        <w:tc>
          <w:tcPr>
            <w:tcW w:w="794"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964"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215"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1790"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709"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1526" w:type="dxa"/>
            <w:gridSpan w:val="4"/>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42"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134"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65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598"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未完成原因分析</w:t>
            </w:r>
          </w:p>
        </w:tc>
      </w:tr>
      <w:tr>
        <w:tblPrEx>
          <w:tblCellMar>
            <w:top w:w="0" w:type="dxa"/>
            <w:left w:w="108" w:type="dxa"/>
            <w:bottom w:w="0" w:type="dxa"/>
            <w:right w:w="108" w:type="dxa"/>
          </w:tblCellMar>
        </w:tblPrEx>
        <w:trPr>
          <w:trHeight w:val="454" w:hRule="atLeast"/>
        </w:trPr>
        <w:tc>
          <w:tcPr>
            <w:tcW w:w="794"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964" w:type="dxa"/>
            <w:gridSpan w:val="2"/>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215" w:type="dxa"/>
            <w:gridSpan w:val="3"/>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1790"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在《中国作家》发表广元题材稿件</w:t>
            </w:r>
          </w:p>
        </w:tc>
        <w:tc>
          <w:tcPr>
            <w:tcW w:w="709"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26" w:type="dxa"/>
            <w:gridSpan w:val="4"/>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742"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件</w:t>
            </w:r>
          </w:p>
        </w:tc>
        <w:tc>
          <w:tcPr>
            <w:tcW w:w="1134" w:type="dxa"/>
            <w:gridSpan w:val="3"/>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color w:val="000000"/>
                <w:sz w:val="16"/>
                <w:szCs w:val="16"/>
              </w:rPr>
            </w:pPr>
            <w:r>
              <w:rPr>
                <w:rFonts w:hint="eastAsia" w:ascii="微软雅黑" w:hAnsi="微软雅黑" w:eastAsia="微软雅黑"/>
                <w:color w:val="000000"/>
                <w:sz w:val="16"/>
                <w:szCs w:val="16"/>
              </w:rPr>
              <w:t>2</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15</w:t>
            </w:r>
          </w:p>
        </w:tc>
        <w:tc>
          <w:tcPr>
            <w:tcW w:w="659"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color w:val="000000"/>
                <w:sz w:val="18"/>
                <w:szCs w:val="18"/>
              </w:rPr>
              <w:t>15</w:t>
            </w:r>
          </w:p>
        </w:tc>
        <w:tc>
          <w:tcPr>
            <w:tcW w:w="598"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454" w:hRule="atLeast"/>
        </w:trPr>
        <w:tc>
          <w:tcPr>
            <w:tcW w:w="794"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964" w:type="dxa"/>
            <w:gridSpan w:val="2"/>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215" w:type="dxa"/>
            <w:gridSpan w:val="3"/>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790"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举行全国性颁奖活动时冠名</w:t>
            </w:r>
          </w:p>
        </w:tc>
        <w:tc>
          <w:tcPr>
            <w:tcW w:w="709"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26" w:type="dxa"/>
            <w:gridSpan w:val="4"/>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742"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次</w:t>
            </w:r>
          </w:p>
        </w:tc>
        <w:tc>
          <w:tcPr>
            <w:tcW w:w="1134" w:type="dxa"/>
            <w:gridSpan w:val="3"/>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color w:val="000000"/>
                <w:sz w:val="16"/>
                <w:szCs w:val="16"/>
              </w:rPr>
            </w:pPr>
            <w:r>
              <w:rPr>
                <w:rFonts w:hint="eastAsia" w:ascii="微软雅黑" w:hAnsi="微软雅黑" w:eastAsia="微软雅黑"/>
                <w:color w:val="000000"/>
                <w:sz w:val="16"/>
                <w:szCs w:val="16"/>
              </w:rPr>
              <w:t>1</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59"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color w:val="000000"/>
                <w:sz w:val="18"/>
                <w:szCs w:val="18"/>
              </w:rPr>
              <w:t>10</w:t>
            </w:r>
          </w:p>
        </w:tc>
        <w:tc>
          <w:tcPr>
            <w:tcW w:w="598"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454" w:hRule="atLeast"/>
        </w:trPr>
        <w:tc>
          <w:tcPr>
            <w:tcW w:w="794"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964" w:type="dxa"/>
            <w:gridSpan w:val="2"/>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215" w:type="dxa"/>
            <w:gridSpan w:val="3"/>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790"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面向国内外公开征文时冠名</w:t>
            </w:r>
          </w:p>
        </w:tc>
        <w:tc>
          <w:tcPr>
            <w:tcW w:w="709"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26" w:type="dxa"/>
            <w:gridSpan w:val="4"/>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742"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次</w:t>
            </w:r>
          </w:p>
        </w:tc>
        <w:tc>
          <w:tcPr>
            <w:tcW w:w="1134" w:type="dxa"/>
            <w:gridSpan w:val="3"/>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color w:val="000000"/>
                <w:sz w:val="16"/>
                <w:szCs w:val="16"/>
              </w:rPr>
            </w:pPr>
            <w:r>
              <w:rPr>
                <w:rFonts w:hint="eastAsia" w:ascii="微软雅黑" w:hAnsi="微软雅黑" w:eastAsia="微软雅黑"/>
                <w:color w:val="000000"/>
                <w:sz w:val="16"/>
                <w:szCs w:val="16"/>
              </w:rPr>
              <w:t>11</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15</w:t>
            </w:r>
          </w:p>
        </w:tc>
        <w:tc>
          <w:tcPr>
            <w:tcW w:w="659"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color w:val="000000"/>
                <w:sz w:val="18"/>
                <w:szCs w:val="18"/>
              </w:rPr>
              <w:t>15</w:t>
            </w:r>
          </w:p>
        </w:tc>
        <w:tc>
          <w:tcPr>
            <w:tcW w:w="598"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679" w:hRule="atLeast"/>
        </w:trPr>
        <w:tc>
          <w:tcPr>
            <w:tcW w:w="794"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964"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215"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1790"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对扩大广元知名度和软实力的影响程度</w:t>
            </w:r>
          </w:p>
        </w:tc>
        <w:tc>
          <w:tcPr>
            <w:tcW w:w="709"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1526" w:type="dxa"/>
            <w:gridSpan w:val="4"/>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进一步提升广元知名度和影响力，宣传广元费省效宏。</w:t>
            </w:r>
          </w:p>
        </w:tc>
        <w:tc>
          <w:tcPr>
            <w:tcW w:w="742"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134" w:type="dxa"/>
            <w:gridSpan w:val="3"/>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color w:val="000000"/>
                <w:sz w:val="16"/>
                <w:szCs w:val="16"/>
              </w:rPr>
            </w:pPr>
            <w:r>
              <w:rPr>
                <w:rFonts w:hint="eastAsia" w:ascii="微软雅黑" w:hAnsi="微软雅黑" w:eastAsia="微软雅黑"/>
                <w:color w:val="000000"/>
                <w:sz w:val="16"/>
                <w:szCs w:val="16"/>
              </w:rPr>
              <w:t>进一步提升广元知名度</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659"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color w:val="000000"/>
                <w:sz w:val="18"/>
                <w:szCs w:val="18"/>
              </w:rPr>
              <w:t>18</w:t>
            </w:r>
          </w:p>
        </w:tc>
        <w:tc>
          <w:tcPr>
            <w:tcW w:w="598"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454" w:hRule="atLeast"/>
        </w:trPr>
        <w:tc>
          <w:tcPr>
            <w:tcW w:w="794"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964"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1215"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服务对象满意度指标</w:t>
            </w:r>
          </w:p>
        </w:tc>
        <w:tc>
          <w:tcPr>
            <w:tcW w:w="1790"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作家和读者满意度</w:t>
            </w:r>
          </w:p>
        </w:tc>
        <w:tc>
          <w:tcPr>
            <w:tcW w:w="709"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26" w:type="dxa"/>
            <w:gridSpan w:val="4"/>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90</w:t>
            </w:r>
          </w:p>
        </w:tc>
        <w:tc>
          <w:tcPr>
            <w:tcW w:w="742"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134" w:type="dxa"/>
            <w:gridSpan w:val="3"/>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color w:val="000000"/>
                <w:sz w:val="16"/>
                <w:szCs w:val="16"/>
              </w:rPr>
            </w:pPr>
            <w:r>
              <w:rPr>
                <w:rFonts w:hint="eastAsia" w:ascii="微软雅黑" w:hAnsi="微软雅黑" w:eastAsia="微软雅黑"/>
                <w:color w:val="000000"/>
                <w:sz w:val="16"/>
                <w:szCs w:val="16"/>
              </w:rPr>
              <w:t>95%</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59"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color w:val="000000"/>
                <w:sz w:val="18"/>
                <w:szCs w:val="18"/>
              </w:rPr>
              <w:t>8</w:t>
            </w:r>
          </w:p>
        </w:tc>
        <w:tc>
          <w:tcPr>
            <w:tcW w:w="598"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94"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964"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成本指标</w:t>
            </w:r>
          </w:p>
        </w:tc>
        <w:tc>
          <w:tcPr>
            <w:tcW w:w="1215"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经济成本指标</w:t>
            </w:r>
          </w:p>
        </w:tc>
        <w:tc>
          <w:tcPr>
            <w:tcW w:w="1790"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冠名费</w:t>
            </w:r>
          </w:p>
        </w:tc>
        <w:tc>
          <w:tcPr>
            <w:tcW w:w="709"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526" w:type="dxa"/>
            <w:gridSpan w:val="4"/>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200000</w:t>
            </w:r>
          </w:p>
        </w:tc>
        <w:tc>
          <w:tcPr>
            <w:tcW w:w="742"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元</w:t>
            </w:r>
          </w:p>
        </w:tc>
        <w:tc>
          <w:tcPr>
            <w:tcW w:w="1134" w:type="dxa"/>
            <w:gridSpan w:val="3"/>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color w:val="000000"/>
                <w:sz w:val="16"/>
                <w:szCs w:val="16"/>
              </w:rPr>
            </w:pPr>
            <w:r>
              <w:rPr>
                <w:rFonts w:hint="eastAsia" w:ascii="微软雅黑" w:hAnsi="微软雅黑" w:eastAsia="微软雅黑"/>
                <w:color w:val="000000"/>
                <w:sz w:val="16"/>
                <w:szCs w:val="16"/>
              </w:rPr>
              <w:t>600000</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659"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color w:val="000000"/>
                <w:sz w:val="18"/>
                <w:szCs w:val="18"/>
              </w:rPr>
              <w:t>20</w:t>
            </w:r>
          </w:p>
        </w:tc>
        <w:tc>
          <w:tcPr>
            <w:tcW w:w="598"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285" w:hRule="atLeast"/>
        </w:trPr>
        <w:tc>
          <w:tcPr>
            <w:tcW w:w="8874" w:type="dxa"/>
            <w:gridSpan w:val="2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5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65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96</w:t>
            </w:r>
          </w:p>
        </w:tc>
        <w:tc>
          <w:tcPr>
            <w:tcW w:w="598" w:type="dxa"/>
            <w:gridSpan w:val="2"/>
            <w:tcBorders>
              <w:top w:val="nil"/>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gridAfter w:val="2"/>
          <w:wAfter w:w="598" w:type="dxa"/>
          <w:trHeight w:val="604" w:hRule="atLeast"/>
        </w:trPr>
        <w:tc>
          <w:tcPr>
            <w:tcW w:w="1675" w:type="dxa"/>
            <w:gridSpan w:val="2"/>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8425" w:type="dxa"/>
            <w:gridSpan w:val="21"/>
            <w:tcBorders>
              <w:top w:val="single" w:color="000000" w:sz="4" w:space="0"/>
              <w:left w:val="nil"/>
              <w:bottom w:val="single" w:color="000000" w:sz="4" w:space="0"/>
              <w:right w:val="single" w:color="000000" w:sz="4" w:space="0"/>
            </w:tcBorders>
            <w:shd w:val="clear" w:color="auto" w:fill="auto"/>
            <w:vAlign w:val="center"/>
          </w:tcPr>
          <w:p>
            <w:pPr>
              <w:rPr>
                <w:rFonts w:ascii="微软雅黑" w:hAnsi="微软雅黑" w:eastAsia="微软雅黑" w:cs="宋体"/>
                <w:color w:val="000000"/>
                <w:sz w:val="16"/>
                <w:szCs w:val="16"/>
              </w:rPr>
            </w:pPr>
            <w:r>
              <w:rPr>
                <w:rFonts w:hint="eastAsia" w:ascii="微软雅黑" w:hAnsi="微软雅黑" w:eastAsia="微软雅黑"/>
                <w:color w:val="000000"/>
                <w:sz w:val="16"/>
                <w:szCs w:val="16"/>
              </w:rPr>
              <w:t>积极组织开展文学评奖工作。组织开展第十届《中国作家》剑门关文学奖评奖工作，根据《第十届中国作家剑门关文学奖评奖方案》，评选出11件获奖作品。举行颁奖仪式。</w:t>
            </w:r>
          </w:p>
        </w:tc>
      </w:tr>
      <w:tr>
        <w:tblPrEx>
          <w:tblCellMar>
            <w:top w:w="0" w:type="dxa"/>
            <w:left w:w="108" w:type="dxa"/>
            <w:bottom w:w="0" w:type="dxa"/>
            <w:right w:w="108" w:type="dxa"/>
          </w:tblCellMar>
        </w:tblPrEx>
        <w:trPr>
          <w:gridAfter w:val="2"/>
          <w:wAfter w:w="598" w:type="dxa"/>
          <w:trHeight w:val="574" w:hRule="atLeast"/>
        </w:trPr>
        <w:tc>
          <w:tcPr>
            <w:tcW w:w="1675" w:type="dxa"/>
            <w:gridSpan w:val="2"/>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8425" w:type="dxa"/>
            <w:gridSpan w:val="21"/>
            <w:tcBorders>
              <w:top w:val="single" w:color="000000" w:sz="4" w:space="0"/>
              <w:left w:val="nil"/>
              <w:bottom w:val="single" w:color="000000" w:sz="4" w:space="0"/>
              <w:right w:val="single" w:color="000000" w:sz="4" w:space="0"/>
            </w:tcBorders>
            <w:shd w:val="clear" w:color="auto" w:fill="auto"/>
            <w:vAlign w:val="center"/>
          </w:tcPr>
          <w:p>
            <w:pPr>
              <w:rPr>
                <w:rFonts w:ascii="宋体" w:hAnsi="宋体" w:cs="宋体"/>
                <w:color w:val="000000"/>
                <w:sz w:val="18"/>
                <w:szCs w:val="18"/>
              </w:rPr>
            </w:pPr>
            <w:r>
              <w:rPr>
                <w:rFonts w:hint="eastAsia"/>
                <w:color w:val="000000"/>
                <w:sz w:val="18"/>
                <w:szCs w:val="18"/>
              </w:rPr>
              <w:t>预算绩效管理工作中，还存在工作标准不高、不精细等问题。</w:t>
            </w:r>
          </w:p>
        </w:tc>
      </w:tr>
      <w:tr>
        <w:tblPrEx>
          <w:tblCellMar>
            <w:top w:w="0" w:type="dxa"/>
            <w:left w:w="108" w:type="dxa"/>
            <w:bottom w:w="0" w:type="dxa"/>
            <w:right w:w="108" w:type="dxa"/>
          </w:tblCellMar>
        </w:tblPrEx>
        <w:trPr>
          <w:gridAfter w:val="2"/>
          <w:wAfter w:w="598" w:type="dxa"/>
          <w:trHeight w:val="634" w:hRule="atLeast"/>
        </w:trPr>
        <w:tc>
          <w:tcPr>
            <w:tcW w:w="1675" w:type="dxa"/>
            <w:gridSpan w:val="2"/>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8425" w:type="dxa"/>
            <w:gridSpan w:val="21"/>
            <w:tcBorders>
              <w:top w:val="single" w:color="000000" w:sz="4" w:space="0"/>
              <w:left w:val="nil"/>
              <w:bottom w:val="single" w:color="000000" w:sz="4" w:space="0"/>
              <w:right w:val="single" w:color="000000" w:sz="4" w:space="0"/>
            </w:tcBorders>
            <w:shd w:val="clear" w:color="auto" w:fill="auto"/>
            <w:vAlign w:val="center"/>
          </w:tcPr>
          <w:p>
            <w:pPr>
              <w:rPr>
                <w:rFonts w:ascii="宋体" w:hAnsi="宋体" w:cs="宋体"/>
                <w:color w:val="000000"/>
                <w:sz w:val="18"/>
                <w:szCs w:val="18"/>
              </w:rPr>
            </w:pPr>
            <w:r>
              <w:rPr>
                <w:rFonts w:hint="eastAsia"/>
                <w:color w:val="000000"/>
                <w:sz w:val="18"/>
                <w:szCs w:val="18"/>
              </w:rPr>
              <w:t>针对查找的问题，加强学习，提出改进措施及相关政策意见与建议；加强项目实施的精细规划。</w:t>
            </w:r>
          </w:p>
        </w:tc>
      </w:tr>
      <w:tr>
        <w:tblPrEx>
          <w:tblCellMar>
            <w:top w:w="0" w:type="dxa"/>
            <w:left w:w="108" w:type="dxa"/>
            <w:bottom w:w="0" w:type="dxa"/>
            <w:right w:w="108" w:type="dxa"/>
          </w:tblCellMar>
        </w:tblPrEx>
        <w:trPr>
          <w:gridAfter w:val="2"/>
          <w:wAfter w:w="598" w:type="dxa"/>
          <w:trHeight w:val="285" w:hRule="atLeast"/>
        </w:trPr>
        <w:tc>
          <w:tcPr>
            <w:tcW w:w="390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项目负责人：</w:t>
            </w:r>
          </w:p>
        </w:tc>
        <w:tc>
          <w:tcPr>
            <w:tcW w:w="6200" w:type="dxa"/>
            <w:gridSpan w:val="1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财务负责人：</w:t>
            </w:r>
          </w:p>
        </w:tc>
      </w:tr>
      <w:tr>
        <w:tblPrEx>
          <w:tblCellMar>
            <w:top w:w="0" w:type="dxa"/>
            <w:left w:w="108" w:type="dxa"/>
            <w:bottom w:w="0" w:type="dxa"/>
            <w:right w:w="108" w:type="dxa"/>
          </w:tblCellMar>
        </w:tblPrEx>
        <w:trPr>
          <w:gridAfter w:val="1"/>
          <w:wAfter w:w="406" w:type="dxa"/>
          <w:trHeight w:val="285" w:hRule="atLeast"/>
        </w:trPr>
        <w:tc>
          <w:tcPr>
            <w:tcW w:w="1675" w:type="dxa"/>
            <w:gridSpan w:val="2"/>
            <w:tcBorders>
              <w:top w:val="nil"/>
              <w:left w:val="nil"/>
              <w:bottom w:val="nil"/>
              <w:right w:val="nil"/>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84" w:type="dxa"/>
            <w:gridSpan w:val="2"/>
            <w:tcBorders>
              <w:top w:val="nil"/>
              <w:left w:val="nil"/>
              <w:bottom w:val="nil"/>
              <w:right w:val="nil"/>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577"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668" w:type="dxa"/>
            <w:gridSpan w:val="2"/>
            <w:tcBorders>
              <w:top w:val="nil"/>
              <w:left w:val="nil"/>
              <w:bottom w:val="nil"/>
              <w:right w:val="nil"/>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396"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995" w:type="dxa"/>
            <w:gridSpan w:val="2"/>
            <w:tcBorders>
              <w:top w:val="nil"/>
              <w:left w:val="nil"/>
              <w:bottom w:val="nil"/>
              <w:right w:val="nil"/>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396"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846" w:type="dxa"/>
            <w:gridSpan w:val="3"/>
            <w:tcBorders>
              <w:top w:val="nil"/>
              <w:left w:val="nil"/>
              <w:bottom w:val="nil"/>
              <w:right w:val="nil"/>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2325" w:type="dxa"/>
            <w:gridSpan w:val="5"/>
            <w:tcBorders>
              <w:top w:val="nil"/>
              <w:left w:val="nil"/>
              <w:bottom w:val="nil"/>
              <w:right w:val="nil"/>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396"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434" w:type="dxa"/>
            <w:gridSpan w:val="4"/>
            <w:tcBorders>
              <w:top w:val="nil"/>
              <w:left w:val="nil"/>
              <w:bottom w:val="nil"/>
              <w:right w:val="nil"/>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r>
    </w:tbl>
    <w:p>
      <w:pPr>
        <w:pStyle w:val="2"/>
        <w:spacing w:before="319"/>
        <w:ind w:left="0" w:firstLine="0"/>
        <w:rPr>
          <w:rFonts w:hint="eastAsia"/>
        </w:rPr>
      </w:pPr>
    </w:p>
    <w:p>
      <w:pPr>
        <w:pStyle w:val="2"/>
        <w:spacing w:before="319"/>
        <w:ind w:left="0" w:firstLine="0"/>
        <w:rPr>
          <w:rFonts w:hint="eastAsia"/>
        </w:rPr>
      </w:pPr>
    </w:p>
    <w:p>
      <w:pPr>
        <w:pStyle w:val="2"/>
        <w:spacing w:before="319"/>
        <w:ind w:left="0" w:firstLine="0"/>
        <w:rPr>
          <w:rFonts w:hint="eastAsia"/>
        </w:rPr>
      </w:pPr>
    </w:p>
    <w:p>
      <w:pPr>
        <w:pStyle w:val="2"/>
        <w:spacing w:before="319"/>
        <w:ind w:left="0" w:firstLine="0"/>
        <w:rPr>
          <w:rFonts w:hint="eastAsia"/>
        </w:rPr>
      </w:pPr>
    </w:p>
    <w:p>
      <w:pPr>
        <w:pStyle w:val="2"/>
        <w:spacing w:before="319"/>
        <w:ind w:left="0" w:firstLine="0"/>
        <w:rPr>
          <w:rFonts w:hint="eastAsia"/>
        </w:rPr>
      </w:pPr>
    </w:p>
    <w:p>
      <w:pPr>
        <w:pStyle w:val="2"/>
        <w:spacing w:before="319"/>
        <w:ind w:left="0" w:firstLine="0"/>
        <w:rPr>
          <w:rFonts w:hint="eastAsia"/>
        </w:rPr>
      </w:pPr>
    </w:p>
    <w:p>
      <w:pPr>
        <w:pStyle w:val="2"/>
        <w:spacing w:before="319"/>
        <w:ind w:left="0" w:firstLine="0"/>
        <w:rPr>
          <w:rFonts w:hint="eastAsia"/>
        </w:rPr>
      </w:pPr>
    </w:p>
    <w:p>
      <w:pPr>
        <w:pStyle w:val="2"/>
        <w:spacing w:before="319"/>
        <w:ind w:left="0" w:firstLine="0"/>
        <w:rPr>
          <w:rFonts w:hint="eastAsia"/>
        </w:rPr>
      </w:pPr>
    </w:p>
    <w:p>
      <w:pPr>
        <w:pStyle w:val="2"/>
        <w:spacing w:before="319"/>
        <w:ind w:left="0" w:firstLine="0"/>
        <w:rPr>
          <w:rFonts w:hint="eastAsia"/>
        </w:rPr>
      </w:pPr>
    </w:p>
    <w:p>
      <w:pPr>
        <w:pStyle w:val="2"/>
        <w:spacing w:before="319"/>
        <w:ind w:left="0" w:firstLine="0"/>
        <w:rPr>
          <w:rFonts w:hint="eastAsia"/>
        </w:rPr>
      </w:pPr>
    </w:p>
    <w:p>
      <w:pPr>
        <w:pStyle w:val="2"/>
        <w:spacing w:before="319"/>
        <w:ind w:left="0" w:firstLine="0"/>
        <w:rPr>
          <w:rFonts w:hint="eastAsia"/>
        </w:rPr>
      </w:pPr>
    </w:p>
    <w:p>
      <w:pPr>
        <w:pStyle w:val="2"/>
        <w:spacing w:before="319"/>
        <w:ind w:left="0" w:firstLine="0"/>
        <w:rPr>
          <w:rFonts w:hint="eastAsia"/>
        </w:rPr>
      </w:pPr>
    </w:p>
    <w:p>
      <w:pPr>
        <w:pStyle w:val="2"/>
        <w:spacing w:before="319"/>
        <w:ind w:left="0" w:firstLine="0"/>
        <w:rPr>
          <w:rFonts w:hint="eastAsia"/>
        </w:rPr>
      </w:pPr>
    </w:p>
    <w:p>
      <w:pPr>
        <w:pStyle w:val="2"/>
        <w:spacing w:before="319"/>
        <w:ind w:left="0" w:firstLine="0"/>
        <w:rPr>
          <w:rFonts w:hint="eastAsia"/>
        </w:rPr>
      </w:pPr>
    </w:p>
    <w:p>
      <w:pPr>
        <w:pStyle w:val="2"/>
        <w:spacing w:before="319"/>
        <w:ind w:left="0" w:firstLine="0"/>
        <w:rPr>
          <w:rFonts w:hint="eastAsia"/>
        </w:rPr>
      </w:pPr>
    </w:p>
    <w:p>
      <w:pPr>
        <w:pStyle w:val="2"/>
        <w:spacing w:before="319"/>
        <w:ind w:left="0" w:firstLine="0"/>
        <w:rPr>
          <w:rFonts w:hint="eastAsia"/>
        </w:rPr>
      </w:pPr>
    </w:p>
    <w:p>
      <w:pPr>
        <w:pStyle w:val="2"/>
        <w:spacing w:before="319"/>
        <w:ind w:left="0" w:firstLine="0"/>
      </w:pPr>
      <w:r>
        <w:rPr>
          <w:rFonts w:hint="eastAsia"/>
        </w:rPr>
        <w:t>附件12</w:t>
      </w:r>
    </w:p>
    <w:tbl>
      <w:tblPr>
        <w:tblStyle w:val="13"/>
        <w:tblW w:w="6076" w:type="pct"/>
        <w:tblInd w:w="-885" w:type="dxa"/>
        <w:tblLayout w:type="fixed"/>
        <w:tblCellMar>
          <w:top w:w="0" w:type="dxa"/>
          <w:left w:w="108" w:type="dxa"/>
          <w:bottom w:w="0" w:type="dxa"/>
          <w:right w:w="108" w:type="dxa"/>
        </w:tblCellMar>
      </w:tblPr>
      <w:tblGrid>
        <w:gridCol w:w="709"/>
        <w:gridCol w:w="749"/>
        <w:gridCol w:w="383"/>
        <w:gridCol w:w="994"/>
        <w:gridCol w:w="1815"/>
        <w:gridCol w:w="397"/>
        <w:gridCol w:w="339"/>
        <w:gridCol w:w="428"/>
        <w:gridCol w:w="281"/>
        <w:gridCol w:w="710"/>
        <w:gridCol w:w="565"/>
        <w:gridCol w:w="145"/>
        <w:gridCol w:w="710"/>
        <w:gridCol w:w="710"/>
        <w:gridCol w:w="1414"/>
      </w:tblGrid>
      <w:tr>
        <w:tblPrEx>
          <w:tblCellMar>
            <w:top w:w="0" w:type="dxa"/>
            <w:left w:w="108" w:type="dxa"/>
            <w:bottom w:w="0" w:type="dxa"/>
            <w:right w:w="108" w:type="dxa"/>
          </w:tblCellMar>
        </w:tblPrEx>
        <w:trPr>
          <w:trHeight w:val="904" w:hRule="atLeast"/>
        </w:trPr>
        <w:tc>
          <w:tcPr>
            <w:tcW w:w="5000" w:type="pct"/>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88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4111" w:type="pct"/>
            <w:gridSpan w:val="12"/>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51080023T000008421424-“两节一会”文旅形象语征集</w:t>
            </w:r>
          </w:p>
        </w:tc>
      </w:tr>
      <w:tr>
        <w:tblPrEx>
          <w:tblCellMar>
            <w:top w:w="0" w:type="dxa"/>
            <w:left w:w="108" w:type="dxa"/>
            <w:bottom w:w="0" w:type="dxa"/>
            <w:right w:w="108" w:type="dxa"/>
          </w:tblCellMar>
        </w:tblPrEx>
        <w:trPr>
          <w:trHeight w:val="384" w:hRule="atLeast"/>
        </w:trPr>
        <w:tc>
          <w:tcPr>
            <w:tcW w:w="88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1920" w:type="pct"/>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中国共产党广元市委员会宣传部部门</w:t>
            </w:r>
          </w:p>
        </w:tc>
        <w:tc>
          <w:tcPr>
            <w:tcW w:w="752" w:type="pct"/>
            <w:gridSpan w:val="3"/>
            <w:tcBorders>
              <w:top w:val="nil"/>
              <w:left w:val="nil"/>
              <w:bottom w:val="nil"/>
              <w:right w:val="nil"/>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 xml:space="preserve">实施单位 </w:t>
            </w:r>
          </w:p>
        </w:tc>
        <w:tc>
          <w:tcPr>
            <w:tcW w:w="1439"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广元市作家协会</w:t>
            </w:r>
          </w:p>
        </w:tc>
      </w:tr>
      <w:tr>
        <w:tblPrEx>
          <w:tblCellMar>
            <w:top w:w="0" w:type="dxa"/>
            <w:left w:w="108" w:type="dxa"/>
            <w:bottom w:w="0" w:type="dxa"/>
            <w:right w:w="108" w:type="dxa"/>
          </w:tblCellMar>
        </w:tblPrEx>
        <w:trPr>
          <w:trHeight w:val="285" w:hRule="atLeast"/>
        </w:trPr>
        <w:tc>
          <w:tcPr>
            <w:tcW w:w="342" w:type="pct"/>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547" w:type="pct"/>
            <w:gridSpan w:val="2"/>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1920" w:type="pct"/>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2192" w:type="pct"/>
            <w:gridSpan w:val="7"/>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r>
      <w:tr>
        <w:tblPrEx>
          <w:tblCellMar>
            <w:top w:w="0" w:type="dxa"/>
            <w:left w:w="108" w:type="dxa"/>
            <w:bottom w:w="0" w:type="dxa"/>
            <w:right w:w="108" w:type="dxa"/>
          </w:tblCellMar>
        </w:tblPrEx>
        <w:trPr>
          <w:trHeight w:val="709" w:hRule="atLeast"/>
        </w:trPr>
        <w:tc>
          <w:tcPr>
            <w:tcW w:w="342" w:type="pct"/>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547" w:type="pct"/>
            <w:gridSpan w:val="2"/>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920" w:type="pct"/>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征集广元旅游形象宣传语，以更直观、更形象的方式向国内外宣传广元旅游特色和魅力。</w:t>
            </w:r>
          </w:p>
        </w:tc>
        <w:tc>
          <w:tcPr>
            <w:tcW w:w="2192" w:type="pct"/>
            <w:gridSpan w:val="7"/>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hint="eastAsia" w:ascii="Courier New" w:hAnsi="Courier New" w:cs="Courier New"/>
                <w:color w:val="000000"/>
                <w:kern w:val="0"/>
                <w:sz w:val="18"/>
                <w:szCs w:val="18"/>
              </w:rPr>
              <w:t>开展广元旅游文化宣传语征集评审工作。按照市委有关领导要求，联合市文化广电旅游局等相关单位，通过广泛宣传，面向全国征集广元旅游文化宣传语，收到应征作品12000余件。</w:t>
            </w:r>
          </w:p>
        </w:tc>
      </w:tr>
      <w:tr>
        <w:tblPrEx>
          <w:tblCellMar>
            <w:top w:w="0" w:type="dxa"/>
            <w:left w:w="108" w:type="dxa"/>
            <w:bottom w:w="0" w:type="dxa"/>
            <w:right w:w="108" w:type="dxa"/>
          </w:tblCellMar>
        </w:tblPrEx>
        <w:trPr>
          <w:trHeight w:val="694" w:hRule="atLeast"/>
        </w:trPr>
        <w:tc>
          <w:tcPr>
            <w:tcW w:w="342" w:type="pct"/>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547" w:type="pct"/>
            <w:gridSpan w:val="2"/>
            <w:tcBorders>
              <w:top w:val="nil"/>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4111" w:type="pct"/>
            <w:gridSpan w:val="12"/>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开展广元旅游文化宣传语征集评审工作。按照市委有关领导要求，联合市文化广电旅游局等相关单位，通过广泛宣传，面向全国征集广元旅游文化宣传语，收到应征作品12000余件。联合制定《广元市文化旅游形象宣传语评选工作方案》，经过三轮评审，评出8件获奖作品。公开宣传展示58件，达到良好的宣传效果。</w:t>
            </w:r>
          </w:p>
        </w:tc>
      </w:tr>
      <w:tr>
        <w:tblPrEx>
          <w:tblCellMar>
            <w:top w:w="0" w:type="dxa"/>
            <w:left w:w="108" w:type="dxa"/>
            <w:bottom w:w="0" w:type="dxa"/>
            <w:right w:w="108" w:type="dxa"/>
          </w:tblCellMar>
        </w:tblPrEx>
        <w:trPr>
          <w:trHeight w:val="360" w:hRule="atLeast"/>
        </w:trPr>
        <w:tc>
          <w:tcPr>
            <w:tcW w:w="342" w:type="pct"/>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547"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480"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877"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1042" w:type="pct"/>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343"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343"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343"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683"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342" w:type="pct"/>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547"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480"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5.00</w:t>
            </w:r>
          </w:p>
        </w:tc>
        <w:tc>
          <w:tcPr>
            <w:tcW w:w="877"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5.00</w:t>
            </w:r>
          </w:p>
        </w:tc>
        <w:tc>
          <w:tcPr>
            <w:tcW w:w="1042" w:type="pct"/>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5.00</w:t>
            </w:r>
          </w:p>
        </w:tc>
        <w:tc>
          <w:tcPr>
            <w:tcW w:w="343"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343"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343"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683" w:type="pct"/>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90" w:hRule="atLeast"/>
        </w:trPr>
        <w:tc>
          <w:tcPr>
            <w:tcW w:w="342" w:type="pct"/>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547"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480"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5.00</w:t>
            </w:r>
          </w:p>
        </w:tc>
        <w:tc>
          <w:tcPr>
            <w:tcW w:w="877"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5.00</w:t>
            </w:r>
          </w:p>
        </w:tc>
        <w:tc>
          <w:tcPr>
            <w:tcW w:w="1042" w:type="pct"/>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5.00</w:t>
            </w:r>
          </w:p>
        </w:tc>
        <w:tc>
          <w:tcPr>
            <w:tcW w:w="343"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343"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43"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83" w:type="pct"/>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409" w:hRule="atLeast"/>
        </w:trPr>
        <w:tc>
          <w:tcPr>
            <w:tcW w:w="342" w:type="pct"/>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547"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480"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877"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042" w:type="pct"/>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343"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343"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43"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83" w:type="pct"/>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342" w:type="pct"/>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547"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480"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877"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042" w:type="pct"/>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343"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343"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43"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83" w:type="pct"/>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38" w:hRule="atLeast"/>
        </w:trPr>
        <w:tc>
          <w:tcPr>
            <w:tcW w:w="342" w:type="pct"/>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547"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480" w:type="pct"/>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877" w:type="pct"/>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042" w:type="pct"/>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343"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343"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43"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83" w:type="pct"/>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454" w:hRule="atLeast"/>
        </w:trPr>
        <w:tc>
          <w:tcPr>
            <w:tcW w:w="342" w:type="pct"/>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547"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480"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877"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356"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343"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343"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343"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343"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343"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683"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8" w:hRule="atLeast"/>
        </w:trPr>
        <w:tc>
          <w:tcPr>
            <w:tcW w:w="342" w:type="pct"/>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547" w:type="pct"/>
            <w:gridSpan w:val="2"/>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480" w:type="pct"/>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877"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产生广元旅游形象宣传语</w:t>
            </w:r>
          </w:p>
        </w:tc>
        <w:tc>
          <w:tcPr>
            <w:tcW w:w="356"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43"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w:t>
            </w:r>
          </w:p>
        </w:tc>
        <w:tc>
          <w:tcPr>
            <w:tcW w:w="343"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条</w:t>
            </w:r>
          </w:p>
        </w:tc>
        <w:tc>
          <w:tcPr>
            <w:tcW w:w="343"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8　</w:t>
            </w:r>
          </w:p>
        </w:tc>
        <w:tc>
          <w:tcPr>
            <w:tcW w:w="343"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343"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　</w:t>
            </w:r>
          </w:p>
        </w:tc>
        <w:tc>
          <w:tcPr>
            <w:tcW w:w="683" w:type="pct"/>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342" w:type="pct"/>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547" w:type="pct"/>
            <w:gridSpan w:val="2"/>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480" w:type="pct"/>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877"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评选等级奖</w:t>
            </w:r>
          </w:p>
        </w:tc>
        <w:tc>
          <w:tcPr>
            <w:tcW w:w="356"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43"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w:t>
            </w:r>
          </w:p>
        </w:tc>
        <w:tc>
          <w:tcPr>
            <w:tcW w:w="343"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件</w:t>
            </w:r>
          </w:p>
        </w:tc>
        <w:tc>
          <w:tcPr>
            <w:tcW w:w="343"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8　</w:t>
            </w:r>
          </w:p>
        </w:tc>
        <w:tc>
          <w:tcPr>
            <w:tcW w:w="343"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343"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10</w:t>
            </w:r>
          </w:p>
        </w:tc>
        <w:tc>
          <w:tcPr>
            <w:tcW w:w="683" w:type="pct"/>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342" w:type="pct"/>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547" w:type="pct"/>
            <w:gridSpan w:val="2"/>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480" w:type="pct"/>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877"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开展广元旅游形象推广</w:t>
            </w:r>
          </w:p>
        </w:tc>
        <w:tc>
          <w:tcPr>
            <w:tcW w:w="356"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43"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343"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条</w:t>
            </w:r>
          </w:p>
        </w:tc>
        <w:tc>
          <w:tcPr>
            <w:tcW w:w="343"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2　</w:t>
            </w:r>
          </w:p>
        </w:tc>
        <w:tc>
          <w:tcPr>
            <w:tcW w:w="343"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343"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10</w:t>
            </w:r>
          </w:p>
        </w:tc>
        <w:tc>
          <w:tcPr>
            <w:tcW w:w="683" w:type="pct"/>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342" w:type="pct"/>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547" w:type="pct"/>
            <w:gridSpan w:val="2"/>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480"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877"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工作任务完成率</w:t>
            </w:r>
          </w:p>
        </w:tc>
        <w:tc>
          <w:tcPr>
            <w:tcW w:w="356"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43"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343"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43"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100　</w:t>
            </w:r>
          </w:p>
        </w:tc>
        <w:tc>
          <w:tcPr>
            <w:tcW w:w="343"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343"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5</w:t>
            </w:r>
          </w:p>
        </w:tc>
        <w:tc>
          <w:tcPr>
            <w:tcW w:w="683" w:type="pct"/>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342" w:type="pct"/>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547" w:type="pct"/>
            <w:gridSpan w:val="2"/>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480"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时效指标</w:t>
            </w:r>
          </w:p>
        </w:tc>
        <w:tc>
          <w:tcPr>
            <w:tcW w:w="877"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工作完成时间</w:t>
            </w:r>
          </w:p>
        </w:tc>
        <w:tc>
          <w:tcPr>
            <w:tcW w:w="356"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43"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12</w:t>
            </w:r>
          </w:p>
        </w:tc>
        <w:tc>
          <w:tcPr>
            <w:tcW w:w="343"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月</w:t>
            </w:r>
          </w:p>
        </w:tc>
        <w:tc>
          <w:tcPr>
            <w:tcW w:w="343"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12　</w:t>
            </w:r>
          </w:p>
        </w:tc>
        <w:tc>
          <w:tcPr>
            <w:tcW w:w="343"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343"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　</w:t>
            </w:r>
          </w:p>
        </w:tc>
        <w:tc>
          <w:tcPr>
            <w:tcW w:w="683" w:type="pct"/>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454" w:hRule="atLeast"/>
        </w:trPr>
        <w:tc>
          <w:tcPr>
            <w:tcW w:w="342" w:type="pct"/>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547"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480"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877"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提升广元旅游品牌和知名度、认同感</w:t>
            </w:r>
          </w:p>
        </w:tc>
        <w:tc>
          <w:tcPr>
            <w:tcW w:w="356"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343"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进一步提升</w:t>
            </w:r>
          </w:p>
        </w:tc>
        <w:tc>
          <w:tcPr>
            <w:tcW w:w="343"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343"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r>
              <w:rPr>
                <w:rFonts w:hint="eastAsia" w:ascii="宋体" w:hAnsi="宋体" w:cs="宋体"/>
                <w:color w:val="000000"/>
                <w:kern w:val="0"/>
                <w:sz w:val="18"/>
                <w:szCs w:val="18"/>
              </w:rPr>
              <w:t>进一步提升</w:t>
            </w:r>
          </w:p>
        </w:tc>
        <w:tc>
          <w:tcPr>
            <w:tcW w:w="343"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343"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18</w:t>
            </w:r>
          </w:p>
        </w:tc>
        <w:tc>
          <w:tcPr>
            <w:tcW w:w="683" w:type="pct"/>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454" w:hRule="atLeast"/>
        </w:trPr>
        <w:tc>
          <w:tcPr>
            <w:tcW w:w="342" w:type="pct"/>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547"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480"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服务对象满意度指标</w:t>
            </w:r>
          </w:p>
        </w:tc>
        <w:tc>
          <w:tcPr>
            <w:tcW w:w="877"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群众满意度</w:t>
            </w:r>
          </w:p>
        </w:tc>
        <w:tc>
          <w:tcPr>
            <w:tcW w:w="356"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43"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90</w:t>
            </w:r>
          </w:p>
        </w:tc>
        <w:tc>
          <w:tcPr>
            <w:tcW w:w="343"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43"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95　</w:t>
            </w:r>
          </w:p>
        </w:tc>
        <w:tc>
          <w:tcPr>
            <w:tcW w:w="343"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343"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　</w:t>
            </w:r>
          </w:p>
        </w:tc>
        <w:tc>
          <w:tcPr>
            <w:tcW w:w="683" w:type="pct"/>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342" w:type="pct"/>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547"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成本指标</w:t>
            </w:r>
          </w:p>
        </w:tc>
        <w:tc>
          <w:tcPr>
            <w:tcW w:w="480"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经济成本指标</w:t>
            </w:r>
          </w:p>
        </w:tc>
        <w:tc>
          <w:tcPr>
            <w:tcW w:w="877"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经费支出</w:t>
            </w:r>
          </w:p>
        </w:tc>
        <w:tc>
          <w:tcPr>
            <w:tcW w:w="356"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43"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50000</w:t>
            </w:r>
          </w:p>
        </w:tc>
        <w:tc>
          <w:tcPr>
            <w:tcW w:w="343"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元</w:t>
            </w:r>
          </w:p>
        </w:tc>
        <w:tc>
          <w:tcPr>
            <w:tcW w:w="343" w:type="pct"/>
            <w:gridSpan w:val="2"/>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50000　</w:t>
            </w:r>
          </w:p>
        </w:tc>
        <w:tc>
          <w:tcPr>
            <w:tcW w:w="343"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343"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　</w:t>
            </w:r>
          </w:p>
        </w:tc>
        <w:tc>
          <w:tcPr>
            <w:tcW w:w="683" w:type="pct"/>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285" w:hRule="atLeast"/>
        </w:trPr>
        <w:tc>
          <w:tcPr>
            <w:tcW w:w="3631"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343"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343" w:type="pct"/>
            <w:tcBorders>
              <w:top w:val="nil"/>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96</w:t>
            </w:r>
          </w:p>
        </w:tc>
        <w:tc>
          <w:tcPr>
            <w:tcW w:w="683" w:type="pct"/>
            <w:tcBorders>
              <w:top w:val="nil"/>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604" w:hRule="atLeast"/>
        </w:trPr>
        <w:tc>
          <w:tcPr>
            <w:tcW w:w="704" w:type="pct"/>
            <w:gridSpan w:val="2"/>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4296" w:type="pct"/>
            <w:gridSpan w:val="13"/>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Cs/>
                <w:color w:val="000000"/>
                <w:kern w:val="0"/>
                <w:sz w:val="18"/>
                <w:szCs w:val="18"/>
              </w:rPr>
            </w:pPr>
            <w:r>
              <w:rPr>
                <w:rFonts w:hint="eastAsia" w:ascii="微软雅黑" w:hAnsi="微软雅黑" w:eastAsia="微软雅黑" w:cs="宋体"/>
                <w:iCs/>
                <w:color w:val="000000"/>
                <w:kern w:val="0"/>
                <w:sz w:val="18"/>
                <w:szCs w:val="18"/>
              </w:rPr>
              <w:t>结合自评情况，该项目自评总分96分，按照市委有关领导要求，联合市文化广电旅游局等相关单位，通过广泛宣传，面向全国征集广元旅游文化宣传语，收到应征作品12000余件。联合制定《广元市文化旅游形象宣传语评选工作方案》，经过三轮评审，评出8件获奖作品。公开宣传展示58件，达到良好的宣传效果。</w:t>
            </w:r>
          </w:p>
        </w:tc>
      </w:tr>
      <w:tr>
        <w:tblPrEx>
          <w:tblCellMar>
            <w:top w:w="0" w:type="dxa"/>
            <w:left w:w="108" w:type="dxa"/>
            <w:bottom w:w="0" w:type="dxa"/>
            <w:right w:w="108" w:type="dxa"/>
          </w:tblCellMar>
        </w:tblPrEx>
        <w:trPr>
          <w:trHeight w:val="574" w:hRule="atLeast"/>
        </w:trPr>
        <w:tc>
          <w:tcPr>
            <w:tcW w:w="704" w:type="pct"/>
            <w:gridSpan w:val="2"/>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4296" w:type="pct"/>
            <w:gridSpan w:val="13"/>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Cs/>
                <w:color w:val="000000"/>
                <w:kern w:val="0"/>
                <w:sz w:val="18"/>
                <w:szCs w:val="18"/>
              </w:rPr>
            </w:pPr>
            <w:r>
              <w:rPr>
                <w:rFonts w:hint="eastAsia" w:ascii="微软雅黑" w:hAnsi="微软雅黑" w:eastAsia="微软雅黑" w:cs="宋体"/>
                <w:iCs/>
                <w:color w:val="000000"/>
                <w:kern w:val="0"/>
                <w:sz w:val="18"/>
                <w:szCs w:val="18"/>
              </w:rPr>
              <w:t>预算绩效管理工作中，还存在工作标准不高、不精细等问题。</w:t>
            </w:r>
          </w:p>
        </w:tc>
      </w:tr>
      <w:tr>
        <w:tblPrEx>
          <w:tblCellMar>
            <w:top w:w="0" w:type="dxa"/>
            <w:left w:w="108" w:type="dxa"/>
            <w:bottom w:w="0" w:type="dxa"/>
            <w:right w:w="108" w:type="dxa"/>
          </w:tblCellMar>
        </w:tblPrEx>
        <w:trPr>
          <w:trHeight w:val="634" w:hRule="atLeast"/>
        </w:trPr>
        <w:tc>
          <w:tcPr>
            <w:tcW w:w="704" w:type="pct"/>
            <w:gridSpan w:val="2"/>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4296" w:type="pct"/>
            <w:gridSpan w:val="13"/>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Cs/>
                <w:color w:val="000000"/>
                <w:kern w:val="0"/>
                <w:sz w:val="18"/>
                <w:szCs w:val="18"/>
              </w:rPr>
            </w:pPr>
            <w:r>
              <w:rPr>
                <w:rFonts w:hint="eastAsia" w:ascii="微软雅黑" w:hAnsi="微软雅黑" w:eastAsia="微软雅黑" w:cs="宋体"/>
                <w:iCs/>
                <w:color w:val="000000"/>
                <w:kern w:val="0"/>
                <w:sz w:val="18"/>
                <w:szCs w:val="18"/>
              </w:rPr>
              <w:t>针对查找的问题，加强学习，提出改进措施及相关政策意见与建议；加强项目实施的精细规划。</w:t>
            </w:r>
          </w:p>
        </w:tc>
      </w:tr>
      <w:tr>
        <w:tblPrEx>
          <w:tblCellMar>
            <w:top w:w="0" w:type="dxa"/>
            <w:left w:w="108" w:type="dxa"/>
            <w:bottom w:w="0" w:type="dxa"/>
            <w:right w:w="108" w:type="dxa"/>
          </w:tblCellMar>
        </w:tblPrEx>
        <w:trPr>
          <w:trHeight w:val="285" w:hRule="atLeast"/>
        </w:trPr>
        <w:tc>
          <w:tcPr>
            <w:tcW w:w="2438"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项目负责人：</w:t>
            </w:r>
          </w:p>
        </w:tc>
        <w:tc>
          <w:tcPr>
            <w:tcW w:w="2562" w:type="pct"/>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财务负责人：</w:t>
            </w:r>
          </w:p>
        </w:tc>
      </w:tr>
    </w:tbl>
    <w:p>
      <w:pPr>
        <w:pStyle w:val="2"/>
        <w:spacing w:before="319"/>
        <w:ind w:left="0" w:firstLine="0"/>
        <w:rPr>
          <w:rFonts w:hint="eastAsia"/>
        </w:rPr>
      </w:pPr>
    </w:p>
    <w:p>
      <w:pPr>
        <w:pStyle w:val="2"/>
        <w:spacing w:before="319"/>
        <w:ind w:left="0" w:firstLine="0"/>
        <w:rPr>
          <w:rFonts w:hint="eastAsia"/>
        </w:rPr>
      </w:pPr>
    </w:p>
    <w:p>
      <w:pPr>
        <w:pStyle w:val="2"/>
        <w:spacing w:before="319"/>
        <w:ind w:left="0" w:firstLine="0"/>
        <w:rPr>
          <w:rFonts w:hint="eastAsia"/>
        </w:rPr>
      </w:pPr>
    </w:p>
    <w:p>
      <w:pPr>
        <w:pStyle w:val="2"/>
        <w:spacing w:before="319"/>
        <w:ind w:left="0" w:firstLine="0"/>
        <w:rPr>
          <w:rFonts w:hint="eastAsia"/>
        </w:rPr>
      </w:pPr>
    </w:p>
    <w:p>
      <w:pPr>
        <w:pStyle w:val="2"/>
        <w:spacing w:before="319"/>
        <w:ind w:left="0" w:firstLine="0"/>
        <w:rPr>
          <w:rFonts w:hint="eastAsia"/>
        </w:rPr>
      </w:pPr>
    </w:p>
    <w:p>
      <w:pPr>
        <w:pStyle w:val="2"/>
        <w:spacing w:before="319"/>
        <w:ind w:left="0" w:firstLine="0"/>
        <w:rPr>
          <w:rFonts w:hint="eastAsia"/>
        </w:rPr>
      </w:pPr>
    </w:p>
    <w:p>
      <w:pPr>
        <w:pStyle w:val="2"/>
        <w:spacing w:before="319"/>
        <w:ind w:left="0" w:firstLine="0"/>
        <w:rPr>
          <w:rFonts w:hint="eastAsia"/>
        </w:rPr>
      </w:pPr>
    </w:p>
    <w:p>
      <w:pPr>
        <w:pStyle w:val="2"/>
        <w:spacing w:before="319"/>
        <w:ind w:left="0" w:firstLine="0"/>
        <w:rPr>
          <w:rFonts w:hint="eastAsia"/>
        </w:rPr>
      </w:pPr>
    </w:p>
    <w:p>
      <w:pPr>
        <w:pStyle w:val="2"/>
        <w:spacing w:before="319"/>
        <w:ind w:left="0" w:firstLine="0"/>
        <w:rPr>
          <w:rFonts w:hint="eastAsia"/>
        </w:rPr>
      </w:pPr>
    </w:p>
    <w:p>
      <w:pPr>
        <w:pStyle w:val="2"/>
        <w:spacing w:before="319"/>
        <w:ind w:left="0" w:firstLine="0"/>
        <w:rPr>
          <w:rFonts w:hint="eastAsia"/>
        </w:rPr>
      </w:pPr>
    </w:p>
    <w:p>
      <w:pPr>
        <w:pStyle w:val="2"/>
        <w:spacing w:before="319"/>
        <w:ind w:left="0" w:firstLine="0"/>
        <w:rPr>
          <w:rFonts w:hint="eastAsia"/>
        </w:rPr>
      </w:pPr>
    </w:p>
    <w:p>
      <w:pPr>
        <w:pStyle w:val="2"/>
        <w:spacing w:before="319"/>
        <w:ind w:left="0" w:firstLine="0"/>
        <w:rPr>
          <w:rFonts w:hint="eastAsia"/>
        </w:rPr>
      </w:pPr>
    </w:p>
    <w:p>
      <w:pPr>
        <w:pStyle w:val="2"/>
        <w:spacing w:before="319"/>
        <w:ind w:left="0" w:firstLine="0"/>
        <w:rPr>
          <w:rFonts w:hint="eastAsia"/>
        </w:rPr>
      </w:pPr>
    </w:p>
    <w:p>
      <w:pPr>
        <w:pStyle w:val="2"/>
        <w:spacing w:before="319"/>
        <w:ind w:left="0" w:firstLine="0"/>
        <w:rPr>
          <w:rFonts w:hint="eastAsia"/>
        </w:rPr>
      </w:pPr>
    </w:p>
    <w:p>
      <w:pPr>
        <w:pStyle w:val="2"/>
        <w:spacing w:before="319"/>
        <w:ind w:left="0" w:firstLine="0"/>
        <w:rPr>
          <w:rFonts w:hint="eastAsia"/>
        </w:rPr>
      </w:pPr>
    </w:p>
    <w:p>
      <w:pPr>
        <w:pStyle w:val="2"/>
        <w:spacing w:before="319"/>
        <w:ind w:left="0" w:firstLine="0"/>
      </w:pPr>
      <w:r>
        <w:rPr>
          <w:rFonts w:hint="eastAsia"/>
        </w:rPr>
        <w:t>附件13</w:t>
      </w:r>
    </w:p>
    <w:tbl>
      <w:tblPr>
        <w:tblStyle w:val="13"/>
        <w:tblW w:w="9924" w:type="dxa"/>
        <w:tblInd w:w="-885" w:type="dxa"/>
        <w:tblLayout w:type="autofit"/>
        <w:tblCellMar>
          <w:top w:w="0" w:type="dxa"/>
          <w:left w:w="108" w:type="dxa"/>
          <w:bottom w:w="0" w:type="dxa"/>
          <w:right w:w="108" w:type="dxa"/>
        </w:tblCellMar>
      </w:tblPr>
      <w:tblGrid>
        <w:gridCol w:w="681"/>
        <w:gridCol w:w="989"/>
        <w:gridCol w:w="132"/>
        <w:gridCol w:w="898"/>
        <w:gridCol w:w="2393"/>
        <w:gridCol w:w="699"/>
        <w:gridCol w:w="130"/>
        <w:gridCol w:w="450"/>
        <w:gridCol w:w="235"/>
        <w:gridCol w:w="396"/>
        <w:gridCol w:w="793"/>
        <w:gridCol w:w="323"/>
        <w:gridCol w:w="486"/>
        <w:gridCol w:w="396"/>
        <w:gridCol w:w="923"/>
      </w:tblGrid>
      <w:tr>
        <w:tblPrEx>
          <w:tblCellMar>
            <w:top w:w="0" w:type="dxa"/>
            <w:left w:w="108" w:type="dxa"/>
            <w:bottom w:w="0" w:type="dxa"/>
            <w:right w:w="108" w:type="dxa"/>
          </w:tblCellMar>
        </w:tblPrEx>
        <w:trPr>
          <w:trHeight w:val="904" w:hRule="atLeast"/>
        </w:trPr>
        <w:tc>
          <w:tcPr>
            <w:tcW w:w="9924"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180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8121" w:type="dxa"/>
            <w:gridSpan w:val="12"/>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51080024T000010945563-历史文化通俗读本编制经费</w:t>
            </w:r>
          </w:p>
        </w:tc>
      </w:tr>
      <w:tr>
        <w:tblPrEx>
          <w:tblCellMar>
            <w:top w:w="0" w:type="dxa"/>
            <w:left w:w="108" w:type="dxa"/>
            <w:bottom w:w="0" w:type="dxa"/>
            <w:right w:w="108" w:type="dxa"/>
          </w:tblCellMar>
        </w:tblPrEx>
        <w:trPr>
          <w:trHeight w:val="514" w:hRule="atLeast"/>
        </w:trPr>
        <w:tc>
          <w:tcPr>
            <w:tcW w:w="180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4806"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中国共产党广元市委员会宣传部部门</w:t>
            </w:r>
          </w:p>
        </w:tc>
        <w:tc>
          <w:tcPr>
            <w:tcW w:w="1188" w:type="dxa"/>
            <w:gridSpan w:val="2"/>
            <w:tcBorders>
              <w:top w:val="nil"/>
              <w:left w:val="nil"/>
              <w:bottom w:val="nil"/>
              <w:right w:val="nil"/>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 xml:space="preserve">实施单位 </w:t>
            </w:r>
          </w:p>
        </w:tc>
        <w:tc>
          <w:tcPr>
            <w:tcW w:w="212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广元市作家协会</w:t>
            </w:r>
          </w:p>
        </w:tc>
      </w:tr>
      <w:tr>
        <w:tblPrEx>
          <w:tblCellMar>
            <w:top w:w="0" w:type="dxa"/>
            <w:left w:w="108" w:type="dxa"/>
            <w:bottom w:w="0" w:type="dxa"/>
            <w:right w:w="108" w:type="dxa"/>
          </w:tblCellMar>
        </w:tblPrEx>
        <w:trPr>
          <w:trHeight w:val="285" w:hRule="atLeast"/>
        </w:trPr>
        <w:tc>
          <w:tcPr>
            <w:tcW w:w="682"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1121" w:type="dxa"/>
            <w:gridSpan w:val="2"/>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4806"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3315"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r>
      <w:tr>
        <w:tblPrEx>
          <w:tblCellMar>
            <w:top w:w="0" w:type="dxa"/>
            <w:left w:w="108" w:type="dxa"/>
            <w:bottom w:w="0" w:type="dxa"/>
            <w:right w:w="108" w:type="dxa"/>
          </w:tblCellMar>
        </w:tblPrEx>
        <w:trPr>
          <w:trHeight w:val="709" w:hRule="atLeast"/>
        </w:trPr>
        <w:tc>
          <w:tcPr>
            <w:tcW w:w="682"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121" w:type="dxa"/>
            <w:gridSpan w:val="2"/>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4806"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深入学习贯彻习近平文化思想，编撰综合反映广元历史人文、自然风景的历史文化通俗读本。</w:t>
            </w:r>
          </w:p>
        </w:tc>
        <w:tc>
          <w:tcPr>
            <w:tcW w:w="3315"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深入学习贯彻习近平文化思想，编撰综合反映广元历史人文、自然风景的历史文化通俗读本。</w:t>
            </w:r>
          </w:p>
        </w:tc>
      </w:tr>
      <w:tr>
        <w:tblPrEx>
          <w:tblCellMar>
            <w:top w:w="0" w:type="dxa"/>
            <w:left w:w="108" w:type="dxa"/>
            <w:bottom w:w="0" w:type="dxa"/>
            <w:right w:w="108" w:type="dxa"/>
          </w:tblCellMar>
        </w:tblPrEx>
        <w:trPr>
          <w:trHeight w:val="694" w:hRule="atLeast"/>
        </w:trPr>
        <w:tc>
          <w:tcPr>
            <w:tcW w:w="682"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121" w:type="dxa"/>
            <w:gridSpan w:val="2"/>
            <w:tcBorders>
              <w:top w:val="nil"/>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8121" w:type="dxa"/>
            <w:gridSpan w:val="12"/>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组织专班，克服艰难，采取“5+2”“白+黑”工作模式，在半个月内编撰出版广元历史文化通俗读本《广元九章》《诗咏广元精选》2部。为深入推进武则天历史名人文化传承创新工程，出版《凤鸣利州——首届武则天女子文学大会征文作品选》。</w:t>
            </w:r>
          </w:p>
        </w:tc>
      </w:tr>
      <w:tr>
        <w:tblPrEx>
          <w:tblCellMar>
            <w:top w:w="0" w:type="dxa"/>
            <w:left w:w="108" w:type="dxa"/>
            <w:bottom w:w="0" w:type="dxa"/>
            <w:right w:w="108" w:type="dxa"/>
          </w:tblCellMar>
        </w:tblPrEx>
        <w:trPr>
          <w:trHeight w:val="360" w:hRule="atLeast"/>
        </w:trPr>
        <w:tc>
          <w:tcPr>
            <w:tcW w:w="682"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1121"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89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239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0" w:type="auto"/>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0" w:type="auto"/>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0" w:type="auto"/>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0" w:type="auto"/>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92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682"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121"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89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39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20.00</w:t>
            </w:r>
          </w:p>
        </w:tc>
        <w:tc>
          <w:tcPr>
            <w:tcW w:w="0" w:type="auto"/>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19.63</w:t>
            </w:r>
          </w:p>
        </w:tc>
        <w:tc>
          <w:tcPr>
            <w:tcW w:w="0" w:type="auto"/>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98.15%</w:t>
            </w:r>
          </w:p>
        </w:tc>
        <w:tc>
          <w:tcPr>
            <w:tcW w:w="0" w:type="auto"/>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0" w:type="auto"/>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923"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cs="Courier New"/>
                <w:i/>
                <w:iCs/>
                <w:color w:val="000000"/>
                <w:kern w:val="0"/>
                <w:sz w:val="18"/>
                <w:szCs w:val="18"/>
              </w:rPr>
            </w:pPr>
            <w:r>
              <w:rPr>
                <w:rFonts w:ascii="Courier New" w:hAnsi="Courier New" w:cs="Courier New"/>
                <w:color w:val="000000"/>
                <w:kern w:val="0"/>
                <w:sz w:val="18"/>
                <w:szCs w:val="18"/>
              </w:rPr>
              <w:t>作者账号信息提供有误，未支付成功。</w:t>
            </w:r>
          </w:p>
        </w:tc>
      </w:tr>
      <w:tr>
        <w:tblPrEx>
          <w:tblCellMar>
            <w:top w:w="0" w:type="dxa"/>
            <w:left w:w="108" w:type="dxa"/>
            <w:bottom w:w="0" w:type="dxa"/>
            <w:right w:w="108" w:type="dxa"/>
          </w:tblCellMar>
        </w:tblPrEx>
        <w:trPr>
          <w:trHeight w:val="390" w:hRule="atLeast"/>
        </w:trPr>
        <w:tc>
          <w:tcPr>
            <w:tcW w:w="682"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121"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89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39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20.00</w:t>
            </w:r>
          </w:p>
        </w:tc>
        <w:tc>
          <w:tcPr>
            <w:tcW w:w="0" w:type="auto"/>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19.63</w:t>
            </w:r>
          </w:p>
        </w:tc>
        <w:tc>
          <w:tcPr>
            <w:tcW w:w="0" w:type="auto"/>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98.15%</w:t>
            </w:r>
          </w:p>
        </w:tc>
        <w:tc>
          <w:tcPr>
            <w:tcW w:w="0" w:type="auto"/>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0" w:type="auto"/>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23"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409" w:hRule="atLeast"/>
        </w:trPr>
        <w:tc>
          <w:tcPr>
            <w:tcW w:w="682"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121"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89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39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0" w:type="auto"/>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0" w:type="auto"/>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0" w:type="auto"/>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0" w:type="auto"/>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23"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682"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121"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89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39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0" w:type="auto"/>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0" w:type="auto"/>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0" w:type="auto"/>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0" w:type="auto"/>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23"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38" w:hRule="atLeast"/>
        </w:trPr>
        <w:tc>
          <w:tcPr>
            <w:tcW w:w="682"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121"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898"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394"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0" w:type="auto"/>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0" w:type="auto"/>
            <w:gridSpan w:val="2"/>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0" w:type="auto"/>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0" w:type="auto"/>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23"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454" w:hRule="atLeast"/>
        </w:trPr>
        <w:tc>
          <w:tcPr>
            <w:tcW w:w="682"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1121"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89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239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69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580"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631"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0" w:type="auto"/>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0" w:type="auto"/>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0" w:type="auto"/>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92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8" w:hRule="atLeast"/>
        </w:trPr>
        <w:tc>
          <w:tcPr>
            <w:tcW w:w="682"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121"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89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239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读本数量</w:t>
            </w:r>
          </w:p>
        </w:tc>
        <w:tc>
          <w:tcPr>
            <w:tcW w:w="69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80"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500</w:t>
            </w:r>
          </w:p>
        </w:tc>
        <w:tc>
          <w:tcPr>
            <w:tcW w:w="631"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本</w:t>
            </w:r>
          </w:p>
        </w:tc>
        <w:tc>
          <w:tcPr>
            <w:tcW w:w="0" w:type="auto"/>
            <w:gridSpan w:val="2"/>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6000　</w:t>
            </w:r>
          </w:p>
        </w:tc>
        <w:tc>
          <w:tcPr>
            <w:tcW w:w="0" w:type="auto"/>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0" w:type="auto"/>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　</w:t>
            </w:r>
          </w:p>
        </w:tc>
        <w:tc>
          <w:tcPr>
            <w:tcW w:w="923"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679" w:hRule="atLeast"/>
        </w:trPr>
        <w:tc>
          <w:tcPr>
            <w:tcW w:w="682"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18"/>
                <w:szCs w:val="18"/>
              </w:rPr>
            </w:pPr>
          </w:p>
        </w:tc>
        <w:tc>
          <w:tcPr>
            <w:tcW w:w="1121"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89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239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以文学方式宣传展示广元经济社会发展情况，团结广大作家与文学爱好者</w:t>
            </w:r>
          </w:p>
        </w:tc>
        <w:tc>
          <w:tcPr>
            <w:tcW w:w="699"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580"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w:t>
            </w:r>
          </w:p>
        </w:tc>
        <w:tc>
          <w:tcPr>
            <w:tcW w:w="631"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0" w:type="auto"/>
            <w:gridSpan w:val="2"/>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完成　</w:t>
            </w:r>
          </w:p>
        </w:tc>
        <w:tc>
          <w:tcPr>
            <w:tcW w:w="0" w:type="auto"/>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0" w:type="auto"/>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25　</w:t>
            </w:r>
          </w:p>
        </w:tc>
        <w:tc>
          <w:tcPr>
            <w:tcW w:w="923"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285" w:hRule="atLeast"/>
        </w:trPr>
        <w:tc>
          <w:tcPr>
            <w:tcW w:w="8119"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0" w:type="auto"/>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0" w:type="auto"/>
            <w:tcBorders>
              <w:top w:val="nil"/>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95　</w:t>
            </w:r>
          </w:p>
        </w:tc>
        <w:tc>
          <w:tcPr>
            <w:tcW w:w="923"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604" w:hRule="atLeast"/>
        </w:trPr>
        <w:tc>
          <w:tcPr>
            <w:tcW w:w="1671" w:type="dxa"/>
            <w:gridSpan w:val="2"/>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8253" w:type="dxa"/>
            <w:gridSpan w:val="13"/>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color w:val="000000"/>
                <w:kern w:val="0"/>
                <w:sz w:val="16"/>
                <w:szCs w:val="16"/>
              </w:rPr>
              <w:t>结合自评情况，该项目自评总分95分，通过该项目的实施编撰出版广元历史文化通俗读本《广元九章》《诗咏广元精选》2部，深入学习贯彻习近平文化思想，编撰综合反映广元历史人文、自然风景的历史文化通俗读本。</w:t>
            </w:r>
          </w:p>
        </w:tc>
      </w:tr>
      <w:tr>
        <w:tblPrEx>
          <w:tblCellMar>
            <w:top w:w="0" w:type="dxa"/>
            <w:left w:w="108" w:type="dxa"/>
            <w:bottom w:w="0" w:type="dxa"/>
            <w:right w:w="108" w:type="dxa"/>
          </w:tblCellMar>
        </w:tblPrEx>
        <w:trPr>
          <w:trHeight w:val="574" w:hRule="atLeast"/>
        </w:trPr>
        <w:tc>
          <w:tcPr>
            <w:tcW w:w="1671" w:type="dxa"/>
            <w:gridSpan w:val="2"/>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8253" w:type="dxa"/>
            <w:gridSpan w:val="13"/>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color w:val="000000"/>
                <w:kern w:val="0"/>
                <w:sz w:val="16"/>
                <w:szCs w:val="16"/>
              </w:rPr>
              <w:t>项目年末结束，作者账号信息提供有误，未支付成功。</w:t>
            </w:r>
          </w:p>
        </w:tc>
      </w:tr>
      <w:tr>
        <w:tblPrEx>
          <w:tblCellMar>
            <w:top w:w="0" w:type="dxa"/>
            <w:left w:w="108" w:type="dxa"/>
            <w:bottom w:w="0" w:type="dxa"/>
            <w:right w:w="108" w:type="dxa"/>
          </w:tblCellMar>
        </w:tblPrEx>
        <w:trPr>
          <w:trHeight w:val="634" w:hRule="atLeast"/>
        </w:trPr>
        <w:tc>
          <w:tcPr>
            <w:tcW w:w="1671" w:type="dxa"/>
            <w:gridSpan w:val="2"/>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8253" w:type="dxa"/>
            <w:gridSpan w:val="13"/>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color w:val="000000"/>
                <w:kern w:val="0"/>
                <w:sz w:val="16"/>
                <w:szCs w:val="16"/>
              </w:rPr>
              <w:t>加强人员分工明确，细化人头，提高各部室的协同效率，实现资源共享和优化配置，对现有人员进行培训和提升，提高整体的工作效率。</w:t>
            </w:r>
          </w:p>
        </w:tc>
      </w:tr>
      <w:tr>
        <w:tblPrEx>
          <w:tblCellMar>
            <w:top w:w="0" w:type="dxa"/>
            <w:left w:w="108" w:type="dxa"/>
            <w:bottom w:w="0" w:type="dxa"/>
            <w:right w:w="108" w:type="dxa"/>
          </w:tblCellMar>
        </w:tblPrEx>
        <w:trPr>
          <w:trHeight w:val="285" w:hRule="atLeast"/>
        </w:trPr>
        <w:tc>
          <w:tcPr>
            <w:tcW w:w="592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项目负责人：</w:t>
            </w:r>
          </w:p>
        </w:tc>
        <w:tc>
          <w:tcPr>
            <w:tcW w:w="4000" w:type="dxa"/>
            <w:gridSpan w:val="8"/>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财务负责人：</w:t>
            </w:r>
          </w:p>
        </w:tc>
      </w:tr>
    </w:tbl>
    <w:p>
      <w:pPr>
        <w:pStyle w:val="2"/>
        <w:spacing w:before="319"/>
        <w:ind w:left="0" w:firstLine="0"/>
      </w:pPr>
    </w:p>
    <w:p>
      <w:pPr>
        <w:pStyle w:val="2"/>
        <w:spacing w:before="319"/>
        <w:ind w:left="0" w:firstLine="0"/>
      </w:pPr>
    </w:p>
    <w:p>
      <w:pPr>
        <w:spacing w:line="600" w:lineRule="exact"/>
        <w:outlineLvl w:val="0"/>
        <w:rPr>
          <w:rFonts w:ascii="仿宋" w:hAnsi="仿宋" w:eastAsia="仿宋"/>
        </w:rPr>
      </w:pPr>
      <w:r>
        <w:rPr>
          <w:rFonts w:hint="eastAsia" w:ascii="黑体" w:hAnsi="黑体" w:eastAsia="黑体"/>
          <w:sz w:val="44"/>
          <w:szCs w:val="44"/>
        </w:rPr>
        <w:t>第</w:t>
      </w:r>
      <w:r>
        <w:rPr>
          <w:rStyle w:val="18"/>
          <w:rFonts w:hint="eastAsia" w:ascii="黑体" w:hAnsi="黑体" w:eastAsia="黑体"/>
          <w:b w:val="0"/>
        </w:rPr>
        <w:t>五部分 附表</w:t>
      </w:r>
      <w:bookmarkEnd w:id="57"/>
      <w:bookmarkEnd w:id="58"/>
      <w:bookmarkEnd w:id="60"/>
      <w:bookmarkStart w:id="61" w:name="_Toc15396619"/>
    </w:p>
    <w:p>
      <w:pPr>
        <w:pStyle w:val="4"/>
        <w:spacing w:before="0" w:after="0"/>
        <w:rPr>
          <w:rFonts w:ascii="仿宋" w:hAnsi="仿宋" w:eastAsia="仿宋"/>
        </w:rPr>
      </w:pPr>
      <w:bookmarkStart w:id="62" w:name="_Toc28970"/>
      <w:r>
        <w:rPr>
          <w:rFonts w:hint="eastAsia" w:ascii="仿宋" w:hAnsi="仿宋" w:eastAsia="仿宋"/>
          <w:b w:val="0"/>
        </w:rPr>
        <w:t>一、收</w:t>
      </w:r>
      <w:r>
        <w:rPr>
          <w:rStyle w:val="19"/>
          <w:rFonts w:hint="eastAsia" w:ascii="仿宋" w:hAnsi="仿宋" w:eastAsia="仿宋"/>
          <w:b w:val="0"/>
          <w:bCs w:val="0"/>
        </w:rPr>
        <w:t>入支出决算总表</w:t>
      </w:r>
      <w:bookmarkEnd w:id="61"/>
      <w:bookmarkEnd w:id="62"/>
    </w:p>
    <w:p>
      <w:pPr>
        <w:pStyle w:val="4"/>
        <w:spacing w:before="0" w:after="0"/>
        <w:rPr>
          <w:rFonts w:ascii="仿宋" w:hAnsi="仿宋" w:eastAsia="仿宋"/>
        </w:rPr>
      </w:pPr>
      <w:bookmarkStart w:id="63" w:name="_Toc15396620"/>
      <w:bookmarkStart w:id="64" w:name="_Toc24637"/>
      <w:r>
        <w:rPr>
          <w:rFonts w:hint="eastAsia" w:ascii="仿宋" w:hAnsi="仿宋" w:eastAsia="仿宋"/>
          <w:b w:val="0"/>
        </w:rPr>
        <w:t>二、收</w:t>
      </w:r>
      <w:r>
        <w:rPr>
          <w:rStyle w:val="19"/>
          <w:rFonts w:hint="eastAsia" w:ascii="仿宋" w:hAnsi="仿宋" w:eastAsia="仿宋"/>
          <w:b w:val="0"/>
          <w:bCs w:val="0"/>
        </w:rPr>
        <w:t>入决算表</w:t>
      </w:r>
      <w:bookmarkEnd w:id="63"/>
      <w:bookmarkEnd w:id="64"/>
    </w:p>
    <w:p>
      <w:pPr>
        <w:pStyle w:val="4"/>
        <w:spacing w:before="0" w:after="0"/>
        <w:rPr>
          <w:rFonts w:ascii="仿宋" w:hAnsi="仿宋" w:eastAsia="仿宋"/>
        </w:rPr>
      </w:pPr>
      <w:bookmarkStart w:id="65" w:name="_Toc15396621"/>
      <w:bookmarkStart w:id="66" w:name="_Toc5090"/>
      <w:r>
        <w:rPr>
          <w:rStyle w:val="19"/>
          <w:rFonts w:hint="eastAsia" w:ascii="仿宋" w:hAnsi="仿宋" w:eastAsia="仿宋"/>
          <w:b w:val="0"/>
          <w:bCs w:val="0"/>
        </w:rPr>
        <w:t>三、</w:t>
      </w:r>
      <w:r>
        <w:rPr>
          <w:rFonts w:hint="eastAsia" w:ascii="仿宋" w:hAnsi="仿宋" w:eastAsia="仿宋"/>
          <w:b w:val="0"/>
        </w:rPr>
        <w:t>支</w:t>
      </w:r>
      <w:r>
        <w:rPr>
          <w:rStyle w:val="19"/>
          <w:rFonts w:hint="eastAsia" w:ascii="仿宋" w:hAnsi="仿宋" w:eastAsia="仿宋"/>
          <w:b w:val="0"/>
          <w:bCs w:val="0"/>
        </w:rPr>
        <w:t>出决算表</w:t>
      </w:r>
      <w:bookmarkEnd w:id="65"/>
      <w:bookmarkEnd w:id="66"/>
    </w:p>
    <w:p>
      <w:pPr>
        <w:pStyle w:val="4"/>
        <w:spacing w:before="0" w:after="0"/>
        <w:rPr>
          <w:rFonts w:ascii="仿宋" w:hAnsi="仿宋" w:eastAsia="仿宋"/>
          <w:b w:val="0"/>
        </w:rPr>
      </w:pPr>
      <w:bookmarkStart w:id="67" w:name="_Toc7556"/>
      <w:bookmarkStart w:id="68" w:name="_Toc15396622"/>
      <w:r>
        <w:rPr>
          <w:rStyle w:val="19"/>
          <w:rFonts w:hint="eastAsia" w:ascii="仿宋" w:hAnsi="仿宋" w:eastAsia="仿宋"/>
          <w:b w:val="0"/>
          <w:bCs w:val="0"/>
        </w:rPr>
        <w:t>四、</w:t>
      </w:r>
      <w:r>
        <w:rPr>
          <w:rFonts w:hint="eastAsia" w:ascii="仿宋" w:hAnsi="仿宋" w:eastAsia="仿宋"/>
          <w:b w:val="0"/>
        </w:rPr>
        <w:t>财</w:t>
      </w:r>
      <w:r>
        <w:rPr>
          <w:rStyle w:val="19"/>
          <w:rFonts w:hint="eastAsia" w:ascii="仿宋" w:hAnsi="仿宋" w:eastAsia="仿宋"/>
          <w:b w:val="0"/>
          <w:bCs w:val="0"/>
        </w:rPr>
        <w:t>政拨款收入支出决算总表</w:t>
      </w:r>
      <w:bookmarkEnd w:id="67"/>
      <w:bookmarkEnd w:id="68"/>
    </w:p>
    <w:p>
      <w:pPr>
        <w:pStyle w:val="4"/>
        <w:spacing w:before="0" w:after="0"/>
        <w:rPr>
          <w:rStyle w:val="19"/>
          <w:rFonts w:ascii="仿宋" w:hAnsi="仿宋" w:eastAsia="仿宋"/>
          <w:b w:val="0"/>
          <w:bCs w:val="0"/>
        </w:rPr>
      </w:pPr>
      <w:bookmarkStart w:id="69" w:name="_Toc15396623"/>
      <w:bookmarkStart w:id="70" w:name="_Toc23904"/>
      <w:r>
        <w:rPr>
          <w:rStyle w:val="19"/>
          <w:rFonts w:hint="eastAsia" w:ascii="仿宋" w:hAnsi="仿宋" w:eastAsia="仿宋"/>
          <w:b w:val="0"/>
          <w:bCs w:val="0"/>
        </w:rPr>
        <w:t>五、</w:t>
      </w:r>
      <w:r>
        <w:rPr>
          <w:rFonts w:hint="eastAsia" w:ascii="仿宋" w:hAnsi="仿宋" w:eastAsia="仿宋"/>
          <w:b w:val="0"/>
        </w:rPr>
        <w:t>财</w:t>
      </w:r>
      <w:r>
        <w:rPr>
          <w:rStyle w:val="19"/>
          <w:rFonts w:hint="eastAsia" w:ascii="仿宋" w:hAnsi="仿宋" w:eastAsia="仿宋"/>
          <w:b w:val="0"/>
          <w:bCs w:val="0"/>
        </w:rPr>
        <w:t>政拨款支出决算明细表</w:t>
      </w:r>
      <w:bookmarkEnd w:id="69"/>
      <w:bookmarkEnd w:id="70"/>
      <w:bookmarkStart w:id="71" w:name="_Toc15396624"/>
    </w:p>
    <w:p>
      <w:pPr>
        <w:pStyle w:val="4"/>
        <w:spacing w:before="0" w:after="0"/>
        <w:rPr>
          <w:rFonts w:ascii="仿宋" w:hAnsi="仿宋" w:eastAsia="仿宋"/>
        </w:rPr>
      </w:pPr>
      <w:bookmarkStart w:id="72" w:name="_Toc26682"/>
      <w:r>
        <w:rPr>
          <w:rStyle w:val="19"/>
          <w:rFonts w:hint="eastAsia" w:ascii="仿宋" w:hAnsi="仿宋" w:eastAsia="仿宋"/>
          <w:b w:val="0"/>
          <w:bCs w:val="0"/>
        </w:rPr>
        <w:t>六、</w:t>
      </w:r>
      <w:r>
        <w:rPr>
          <w:rFonts w:hint="eastAsia" w:ascii="仿宋" w:hAnsi="仿宋" w:eastAsia="仿宋"/>
          <w:b w:val="0"/>
        </w:rPr>
        <w:t>一</w:t>
      </w:r>
      <w:r>
        <w:rPr>
          <w:rStyle w:val="19"/>
          <w:rFonts w:hint="eastAsia" w:ascii="仿宋" w:hAnsi="仿宋" w:eastAsia="仿宋"/>
          <w:b w:val="0"/>
          <w:bCs w:val="0"/>
        </w:rPr>
        <w:t>般公共预算财政拨款支出决算表</w:t>
      </w:r>
      <w:bookmarkEnd w:id="71"/>
      <w:bookmarkEnd w:id="72"/>
    </w:p>
    <w:p>
      <w:pPr>
        <w:pStyle w:val="4"/>
        <w:spacing w:before="0" w:after="0"/>
        <w:rPr>
          <w:rFonts w:ascii="仿宋" w:hAnsi="仿宋" w:eastAsia="仿宋"/>
        </w:rPr>
      </w:pPr>
      <w:bookmarkStart w:id="73" w:name="_Toc1614"/>
      <w:bookmarkStart w:id="74" w:name="_Toc15396625"/>
      <w:r>
        <w:rPr>
          <w:rStyle w:val="19"/>
          <w:rFonts w:hint="eastAsia" w:ascii="仿宋" w:hAnsi="仿宋" w:eastAsia="仿宋"/>
          <w:b w:val="0"/>
          <w:bCs w:val="0"/>
        </w:rPr>
        <w:t>七、</w:t>
      </w:r>
      <w:r>
        <w:rPr>
          <w:rFonts w:hint="eastAsia" w:ascii="仿宋" w:hAnsi="仿宋" w:eastAsia="仿宋"/>
          <w:b w:val="0"/>
        </w:rPr>
        <w:t>一</w:t>
      </w:r>
      <w:r>
        <w:rPr>
          <w:rStyle w:val="19"/>
          <w:rFonts w:hint="eastAsia" w:ascii="仿宋" w:hAnsi="仿宋" w:eastAsia="仿宋"/>
          <w:b w:val="0"/>
          <w:bCs w:val="0"/>
        </w:rPr>
        <w:t>般公共预算财政拨款支出决算明细表</w:t>
      </w:r>
      <w:bookmarkEnd w:id="73"/>
      <w:bookmarkEnd w:id="74"/>
    </w:p>
    <w:p>
      <w:pPr>
        <w:pStyle w:val="4"/>
        <w:spacing w:before="0" w:after="0"/>
        <w:rPr>
          <w:rFonts w:ascii="仿宋" w:hAnsi="仿宋" w:eastAsia="仿宋"/>
        </w:rPr>
      </w:pPr>
      <w:bookmarkStart w:id="75" w:name="_Toc22105"/>
      <w:bookmarkStart w:id="76" w:name="_Toc15396626"/>
      <w:r>
        <w:rPr>
          <w:rStyle w:val="19"/>
          <w:rFonts w:hint="eastAsia" w:ascii="仿宋" w:hAnsi="仿宋" w:eastAsia="仿宋"/>
          <w:b w:val="0"/>
          <w:bCs w:val="0"/>
        </w:rPr>
        <w:t>八、</w:t>
      </w:r>
      <w:r>
        <w:rPr>
          <w:rFonts w:hint="eastAsia" w:ascii="仿宋" w:hAnsi="仿宋" w:eastAsia="仿宋"/>
          <w:b w:val="0"/>
        </w:rPr>
        <w:t>一</w:t>
      </w:r>
      <w:r>
        <w:rPr>
          <w:rStyle w:val="19"/>
          <w:rFonts w:hint="eastAsia" w:ascii="仿宋" w:hAnsi="仿宋" w:eastAsia="仿宋"/>
          <w:b w:val="0"/>
          <w:bCs w:val="0"/>
        </w:rPr>
        <w:t>般公共预算财政拨款基本支出决算表</w:t>
      </w:r>
      <w:bookmarkEnd w:id="75"/>
      <w:bookmarkEnd w:id="76"/>
    </w:p>
    <w:p>
      <w:pPr>
        <w:pStyle w:val="4"/>
        <w:spacing w:before="0" w:after="0"/>
        <w:rPr>
          <w:rFonts w:ascii="仿宋" w:hAnsi="仿宋" w:eastAsia="仿宋"/>
        </w:rPr>
      </w:pPr>
      <w:bookmarkStart w:id="77" w:name="_Toc15396627"/>
      <w:bookmarkStart w:id="78" w:name="_Toc29914"/>
      <w:r>
        <w:rPr>
          <w:rStyle w:val="19"/>
          <w:rFonts w:hint="eastAsia" w:ascii="仿宋" w:hAnsi="仿宋" w:eastAsia="仿宋"/>
          <w:b w:val="0"/>
          <w:bCs w:val="0"/>
        </w:rPr>
        <w:t>九、</w:t>
      </w:r>
      <w:r>
        <w:rPr>
          <w:rFonts w:hint="eastAsia" w:ascii="仿宋" w:hAnsi="仿宋" w:eastAsia="仿宋"/>
          <w:b w:val="0"/>
        </w:rPr>
        <w:t>一</w:t>
      </w:r>
      <w:r>
        <w:rPr>
          <w:rStyle w:val="19"/>
          <w:rFonts w:hint="eastAsia" w:ascii="仿宋" w:hAnsi="仿宋" w:eastAsia="仿宋"/>
          <w:b w:val="0"/>
          <w:bCs w:val="0"/>
        </w:rPr>
        <w:t>般公共预算财政拨款项目支出决算表</w:t>
      </w:r>
      <w:bookmarkEnd w:id="77"/>
      <w:bookmarkEnd w:id="78"/>
    </w:p>
    <w:p>
      <w:pPr>
        <w:pStyle w:val="4"/>
        <w:spacing w:before="0" w:after="0"/>
        <w:rPr>
          <w:rFonts w:ascii="仿宋" w:hAnsi="仿宋" w:eastAsia="仿宋"/>
        </w:rPr>
      </w:pPr>
      <w:bookmarkStart w:id="79" w:name="_Toc15396628"/>
      <w:bookmarkStart w:id="80" w:name="_Toc1312"/>
      <w:r>
        <w:rPr>
          <w:rStyle w:val="19"/>
          <w:rFonts w:hint="eastAsia" w:ascii="仿宋" w:hAnsi="仿宋" w:eastAsia="仿宋"/>
          <w:b w:val="0"/>
          <w:bCs w:val="0"/>
        </w:rPr>
        <w:t>十、</w:t>
      </w:r>
      <w:bookmarkEnd w:id="79"/>
      <w:r>
        <w:rPr>
          <w:rFonts w:hint="eastAsia" w:ascii="仿宋" w:hAnsi="仿宋" w:eastAsia="仿宋"/>
          <w:b w:val="0"/>
        </w:rPr>
        <w:t>政</w:t>
      </w:r>
      <w:r>
        <w:rPr>
          <w:rStyle w:val="19"/>
          <w:rFonts w:hint="eastAsia" w:ascii="仿宋" w:hAnsi="仿宋" w:eastAsia="仿宋"/>
          <w:b w:val="0"/>
          <w:bCs w:val="0"/>
        </w:rPr>
        <w:t>府性基金预算财政拨款收入支出决算表</w:t>
      </w:r>
      <w:bookmarkEnd w:id="80"/>
    </w:p>
    <w:p>
      <w:pPr>
        <w:pStyle w:val="4"/>
        <w:spacing w:before="0" w:after="0"/>
        <w:rPr>
          <w:rFonts w:ascii="仿宋" w:hAnsi="仿宋" w:eastAsia="仿宋"/>
        </w:rPr>
      </w:pPr>
      <w:bookmarkStart w:id="81" w:name="_Toc15396629"/>
      <w:bookmarkStart w:id="82" w:name="_Toc2529"/>
      <w:r>
        <w:rPr>
          <w:rStyle w:val="19"/>
          <w:rFonts w:hint="eastAsia" w:ascii="仿宋" w:hAnsi="仿宋" w:eastAsia="仿宋"/>
          <w:b w:val="0"/>
          <w:bCs w:val="0"/>
        </w:rPr>
        <w:t>十一、</w:t>
      </w:r>
      <w:bookmarkEnd w:id="81"/>
      <w:r>
        <w:rPr>
          <w:rFonts w:hint="eastAsia" w:ascii="仿宋" w:hAnsi="仿宋" w:eastAsia="仿宋"/>
          <w:b w:val="0"/>
        </w:rPr>
        <w:t>国</w:t>
      </w:r>
      <w:r>
        <w:rPr>
          <w:rStyle w:val="19"/>
          <w:rFonts w:hint="eastAsia" w:ascii="仿宋" w:hAnsi="仿宋" w:eastAsia="仿宋"/>
          <w:b w:val="0"/>
          <w:bCs w:val="0"/>
        </w:rPr>
        <w:t>有资本经营预算财政拨款收入支出决算表</w:t>
      </w:r>
      <w:bookmarkEnd w:id="82"/>
    </w:p>
    <w:p>
      <w:pPr>
        <w:pStyle w:val="4"/>
        <w:spacing w:before="0" w:after="0"/>
        <w:rPr>
          <w:rFonts w:ascii="仿宋" w:hAnsi="仿宋" w:eastAsia="仿宋"/>
        </w:rPr>
      </w:pPr>
      <w:bookmarkStart w:id="83" w:name="_Toc15396630"/>
      <w:bookmarkStart w:id="84" w:name="_Toc12308"/>
      <w:r>
        <w:rPr>
          <w:rStyle w:val="19"/>
          <w:rFonts w:hint="eastAsia" w:ascii="仿宋" w:hAnsi="仿宋" w:eastAsia="仿宋"/>
          <w:b w:val="0"/>
          <w:bCs w:val="0"/>
        </w:rPr>
        <w:t>十二、</w:t>
      </w:r>
      <w:bookmarkEnd w:id="83"/>
      <w:r>
        <w:rPr>
          <w:rStyle w:val="19"/>
          <w:rFonts w:hint="eastAsia" w:ascii="仿宋" w:hAnsi="仿宋" w:eastAsia="仿宋"/>
          <w:b w:val="0"/>
          <w:bCs w:val="0"/>
        </w:rPr>
        <w:t>国有资本经营预算财政拨款支出决算表</w:t>
      </w:r>
      <w:bookmarkEnd w:id="84"/>
    </w:p>
    <w:p>
      <w:pPr>
        <w:pStyle w:val="4"/>
        <w:spacing w:before="0" w:after="0"/>
        <w:rPr>
          <w:rFonts w:eastAsia="仿宋"/>
        </w:rPr>
      </w:pPr>
      <w:bookmarkStart w:id="85" w:name="_Toc15396631"/>
      <w:bookmarkStart w:id="86" w:name="_Toc24713"/>
      <w:r>
        <w:rPr>
          <w:rStyle w:val="19"/>
          <w:rFonts w:hint="eastAsia" w:ascii="仿宋" w:hAnsi="仿宋" w:eastAsia="仿宋"/>
          <w:b w:val="0"/>
          <w:bCs w:val="0"/>
        </w:rPr>
        <w:t>十三、</w:t>
      </w:r>
      <w:bookmarkEnd w:id="85"/>
      <w:r>
        <w:rPr>
          <w:rStyle w:val="19"/>
          <w:rFonts w:hint="eastAsia" w:ascii="仿宋" w:hAnsi="仿宋" w:eastAsia="仿宋"/>
          <w:b w:val="0"/>
          <w:bCs w:val="0"/>
        </w:rPr>
        <w:t>财政拨款“三公”经费支出决算表</w:t>
      </w:r>
      <w:bookmarkEnd w:id="86"/>
    </w:p>
    <w:sectPr>
      <w:pgSz w:w="11906" w:h="16838"/>
      <w:pgMar w:top="1440" w:right="1803" w:bottom="1440" w:left="1803" w:header="851" w:footer="992" w:gutter="0"/>
      <w:cols w:space="0" w:num="1"/>
      <w:titlePg/>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2000019F" w:csb1="00000000"/>
  </w:font>
  <w:font w:name="微软雅黑">
    <w:altName w:val="黑体"/>
    <w:panose1 w:val="020B0503020204020204"/>
    <w:charset w:val="86"/>
    <w:family w:val="swiss"/>
    <w:pitch w:val="default"/>
    <w:sig w:usb0="00000000" w:usb1="0000000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modern"/>
    <w:pitch w:val="default"/>
    <w:sig w:usb0="00000000" w:usb1="00000000"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Lucida Sans">
    <w:panose1 w:val="020B0602030504020204"/>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path/>
          <v:fill on="f" focussize="0,0"/>
          <v:stroke on="f" weight="0.5pt" joinstyle="miter"/>
          <v:imagedata o:title=""/>
          <o:lock v:ext="edit"/>
          <v:textbox inset="0mm,0mm,0mm,0mm" style="mso-fit-shape-to-text:t;">
            <w:txbxContent>
              <w:p>
                <w:pPr>
                  <w:pStyle w:val="9"/>
                </w:pPr>
                <w:r>
                  <w:fldChar w:fldCharType="begin"/>
                </w:r>
                <w:r>
                  <w:instrText xml:space="preserve"> PAGE  \* MERGEFORMAT </w:instrText>
                </w:r>
                <w:r>
                  <w:fldChar w:fldCharType="separate"/>
                </w:r>
                <w:r>
                  <w:t>23</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pict>
        <v:shape id="_x0000_s2050" o:spid="_x0000_s2050"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path/>
          <v:fill on="f" focussize="0,0"/>
          <v:stroke on="f" weight="0.5pt" joinstyle="miter"/>
          <v:imagedata o:title=""/>
          <o:lock v:ext="edit"/>
          <v:textbox inset="0mm,0mm,0mm,0mm" style="mso-fit-shape-to-text:t;">
            <w:txbxContent>
              <w:p>
                <w:pPr>
                  <w:pStyle w:val="9"/>
                </w:pPr>
                <w:r>
                  <w:fldChar w:fldCharType="begin"/>
                </w:r>
                <w:r>
                  <w:instrText xml:space="preserve"> PAGE  \* MERGEFORMAT </w:instrText>
                </w:r>
                <w:r>
                  <w:fldChar w:fldCharType="separate"/>
                </w:r>
                <w:r>
                  <w:t>14</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1">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2">
    <w:nsid w:val="4F10A12A"/>
    <w:multiLevelType w:val="singleLevel"/>
    <w:tmpl w:val="4F10A12A"/>
    <w:lvl w:ilvl="0" w:tentative="0">
      <w:start w:val="1"/>
      <w:numFmt w:val="decimal"/>
      <w:suff w:val="nothing"/>
      <w:lvlText w:val="%1．"/>
      <w:lvlJc w:val="left"/>
      <w:pPr>
        <w:ind w:left="0" w:firstLine="400"/>
      </w:pPr>
      <w:rPr>
        <w:rFont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true"/>
  <w:bordersDoNotSurroundFooter w:val="true"/>
  <w:documentProtection w:enforcement="0"/>
  <w:defaultTabStop w:val="420"/>
  <w:drawingGridHorizontalSpacing w:val="105"/>
  <w:drawingGridVerticalSpacing w:val="159"/>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YTc2ZGZiNzZiNDVlOGViOWVmM2JhOTY0NGJkNjUyYzgifQ=="/>
  </w:docVars>
  <w:rsids>
    <w:rsidRoot w:val="00F1361C"/>
    <w:rsid w:val="00007532"/>
    <w:rsid w:val="00014D1E"/>
    <w:rsid w:val="000222C6"/>
    <w:rsid w:val="0002549F"/>
    <w:rsid w:val="00045791"/>
    <w:rsid w:val="000468DB"/>
    <w:rsid w:val="0006487A"/>
    <w:rsid w:val="00065F8F"/>
    <w:rsid w:val="00070A43"/>
    <w:rsid w:val="000768F2"/>
    <w:rsid w:val="000911B5"/>
    <w:rsid w:val="0009184B"/>
    <w:rsid w:val="00093B2F"/>
    <w:rsid w:val="00094236"/>
    <w:rsid w:val="0009593C"/>
    <w:rsid w:val="00097322"/>
    <w:rsid w:val="000A6A92"/>
    <w:rsid w:val="000B047F"/>
    <w:rsid w:val="000B5923"/>
    <w:rsid w:val="000B5A48"/>
    <w:rsid w:val="000B6FF3"/>
    <w:rsid w:val="000C3467"/>
    <w:rsid w:val="000C3CA6"/>
    <w:rsid w:val="000D1267"/>
    <w:rsid w:val="000D1D50"/>
    <w:rsid w:val="000D5782"/>
    <w:rsid w:val="000E09EE"/>
    <w:rsid w:val="000E6613"/>
    <w:rsid w:val="000E7119"/>
    <w:rsid w:val="00114E9B"/>
    <w:rsid w:val="00142216"/>
    <w:rsid w:val="00144D6A"/>
    <w:rsid w:val="0014729F"/>
    <w:rsid w:val="0015426B"/>
    <w:rsid w:val="00157BAB"/>
    <w:rsid w:val="001654D1"/>
    <w:rsid w:val="00174518"/>
    <w:rsid w:val="0018106D"/>
    <w:rsid w:val="001877A7"/>
    <w:rsid w:val="00191536"/>
    <w:rsid w:val="00196687"/>
    <w:rsid w:val="001C0962"/>
    <w:rsid w:val="001D1381"/>
    <w:rsid w:val="001D22D2"/>
    <w:rsid w:val="001D607D"/>
    <w:rsid w:val="001D7531"/>
    <w:rsid w:val="001E045C"/>
    <w:rsid w:val="001E737D"/>
    <w:rsid w:val="001F0592"/>
    <w:rsid w:val="001F7506"/>
    <w:rsid w:val="002006CD"/>
    <w:rsid w:val="00202B36"/>
    <w:rsid w:val="00204B7A"/>
    <w:rsid w:val="00204CDE"/>
    <w:rsid w:val="0021101A"/>
    <w:rsid w:val="00220536"/>
    <w:rsid w:val="00235629"/>
    <w:rsid w:val="00240DD2"/>
    <w:rsid w:val="0025297E"/>
    <w:rsid w:val="00260C38"/>
    <w:rsid w:val="002616C0"/>
    <w:rsid w:val="00261FEF"/>
    <w:rsid w:val="00265372"/>
    <w:rsid w:val="002662AA"/>
    <w:rsid w:val="00266CA5"/>
    <w:rsid w:val="00277578"/>
    <w:rsid w:val="00280496"/>
    <w:rsid w:val="00281B1E"/>
    <w:rsid w:val="00294DC9"/>
    <w:rsid w:val="00295495"/>
    <w:rsid w:val="002A31DE"/>
    <w:rsid w:val="002B2613"/>
    <w:rsid w:val="002B6BAD"/>
    <w:rsid w:val="002C4A10"/>
    <w:rsid w:val="002D6D05"/>
    <w:rsid w:val="002E3D70"/>
    <w:rsid w:val="002E438F"/>
    <w:rsid w:val="002F1818"/>
    <w:rsid w:val="002F567B"/>
    <w:rsid w:val="00303A5C"/>
    <w:rsid w:val="003216A9"/>
    <w:rsid w:val="00327E38"/>
    <w:rsid w:val="00335A74"/>
    <w:rsid w:val="00350677"/>
    <w:rsid w:val="0036561B"/>
    <w:rsid w:val="0037013F"/>
    <w:rsid w:val="00380C92"/>
    <w:rsid w:val="00384E77"/>
    <w:rsid w:val="003A290C"/>
    <w:rsid w:val="003A484F"/>
    <w:rsid w:val="003A4883"/>
    <w:rsid w:val="003B0BE0"/>
    <w:rsid w:val="003B0C1B"/>
    <w:rsid w:val="003B1ADD"/>
    <w:rsid w:val="003B4FD0"/>
    <w:rsid w:val="003B688C"/>
    <w:rsid w:val="003C0291"/>
    <w:rsid w:val="003C2188"/>
    <w:rsid w:val="003C39AE"/>
    <w:rsid w:val="003C7B60"/>
    <w:rsid w:val="003D0C0F"/>
    <w:rsid w:val="003D1FB2"/>
    <w:rsid w:val="003D5B07"/>
    <w:rsid w:val="003D66DA"/>
    <w:rsid w:val="003E1310"/>
    <w:rsid w:val="003E3992"/>
    <w:rsid w:val="003E6F55"/>
    <w:rsid w:val="00406254"/>
    <w:rsid w:val="004141A1"/>
    <w:rsid w:val="004223DE"/>
    <w:rsid w:val="00434489"/>
    <w:rsid w:val="00437085"/>
    <w:rsid w:val="00443880"/>
    <w:rsid w:val="004464F4"/>
    <w:rsid w:val="004559AD"/>
    <w:rsid w:val="00471401"/>
    <w:rsid w:val="00473F31"/>
    <w:rsid w:val="0048263A"/>
    <w:rsid w:val="004833C5"/>
    <w:rsid w:val="00487E5D"/>
    <w:rsid w:val="00493EE5"/>
    <w:rsid w:val="004A711F"/>
    <w:rsid w:val="004B199D"/>
    <w:rsid w:val="004B4690"/>
    <w:rsid w:val="004B4D3C"/>
    <w:rsid w:val="004D12A1"/>
    <w:rsid w:val="004E0A2D"/>
    <w:rsid w:val="004E206B"/>
    <w:rsid w:val="004E6DF7"/>
    <w:rsid w:val="004F0FBD"/>
    <w:rsid w:val="00505A47"/>
    <w:rsid w:val="00512FDA"/>
    <w:rsid w:val="005164C6"/>
    <w:rsid w:val="00520DA0"/>
    <w:rsid w:val="00545E8E"/>
    <w:rsid w:val="00550CBE"/>
    <w:rsid w:val="0055165B"/>
    <w:rsid w:val="005664BB"/>
    <w:rsid w:val="00566FFA"/>
    <w:rsid w:val="0057481D"/>
    <w:rsid w:val="00576199"/>
    <w:rsid w:val="00583011"/>
    <w:rsid w:val="0058486E"/>
    <w:rsid w:val="00585B33"/>
    <w:rsid w:val="0059014D"/>
    <w:rsid w:val="005B0F69"/>
    <w:rsid w:val="005B5C64"/>
    <w:rsid w:val="005C5337"/>
    <w:rsid w:val="005C6BD0"/>
    <w:rsid w:val="005D1C8B"/>
    <w:rsid w:val="005D468D"/>
    <w:rsid w:val="005D5CED"/>
    <w:rsid w:val="005F1A4C"/>
    <w:rsid w:val="00605688"/>
    <w:rsid w:val="006070AF"/>
    <w:rsid w:val="00607E6C"/>
    <w:rsid w:val="006101B1"/>
    <w:rsid w:val="00614E44"/>
    <w:rsid w:val="00617499"/>
    <w:rsid w:val="006203D0"/>
    <w:rsid w:val="0062270A"/>
    <w:rsid w:val="00622830"/>
    <w:rsid w:val="00623DA0"/>
    <w:rsid w:val="006309F1"/>
    <w:rsid w:val="00630AEF"/>
    <w:rsid w:val="006325F8"/>
    <w:rsid w:val="00633463"/>
    <w:rsid w:val="00634C9A"/>
    <w:rsid w:val="00640F82"/>
    <w:rsid w:val="006440E4"/>
    <w:rsid w:val="0066343B"/>
    <w:rsid w:val="00664777"/>
    <w:rsid w:val="00673B1B"/>
    <w:rsid w:val="006748A4"/>
    <w:rsid w:val="00681A31"/>
    <w:rsid w:val="00683E73"/>
    <w:rsid w:val="00691BB6"/>
    <w:rsid w:val="006A04C8"/>
    <w:rsid w:val="006A3141"/>
    <w:rsid w:val="006A5E34"/>
    <w:rsid w:val="006B2422"/>
    <w:rsid w:val="006B2B9A"/>
    <w:rsid w:val="006C1937"/>
    <w:rsid w:val="006D13EC"/>
    <w:rsid w:val="006E527A"/>
    <w:rsid w:val="006F020C"/>
    <w:rsid w:val="007127B7"/>
    <w:rsid w:val="0071798E"/>
    <w:rsid w:val="007416B6"/>
    <w:rsid w:val="00746F48"/>
    <w:rsid w:val="0075404D"/>
    <w:rsid w:val="0076182A"/>
    <w:rsid w:val="00767B7E"/>
    <w:rsid w:val="007770C3"/>
    <w:rsid w:val="00784D24"/>
    <w:rsid w:val="00785FBA"/>
    <w:rsid w:val="00786C37"/>
    <w:rsid w:val="00786E4A"/>
    <w:rsid w:val="007875EB"/>
    <w:rsid w:val="0079426B"/>
    <w:rsid w:val="007A1382"/>
    <w:rsid w:val="007A1BA5"/>
    <w:rsid w:val="007D1682"/>
    <w:rsid w:val="007D312A"/>
    <w:rsid w:val="007D3F19"/>
    <w:rsid w:val="007D5912"/>
    <w:rsid w:val="007E23B0"/>
    <w:rsid w:val="007E23E5"/>
    <w:rsid w:val="007F1991"/>
    <w:rsid w:val="007F2C2F"/>
    <w:rsid w:val="007F3180"/>
    <w:rsid w:val="007F55FC"/>
    <w:rsid w:val="007F5665"/>
    <w:rsid w:val="00800112"/>
    <w:rsid w:val="008015F6"/>
    <w:rsid w:val="00806048"/>
    <w:rsid w:val="00813348"/>
    <w:rsid w:val="00816EE1"/>
    <w:rsid w:val="008253BB"/>
    <w:rsid w:val="00830B2F"/>
    <w:rsid w:val="0083706E"/>
    <w:rsid w:val="008408F6"/>
    <w:rsid w:val="008423A5"/>
    <w:rsid w:val="00850625"/>
    <w:rsid w:val="0085102F"/>
    <w:rsid w:val="00853718"/>
    <w:rsid w:val="00855221"/>
    <w:rsid w:val="00860645"/>
    <w:rsid w:val="00871F71"/>
    <w:rsid w:val="00872FD8"/>
    <w:rsid w:val="00874C51"/>
    <w:rsid w:val="00885AF4"/>
    <w:rsid w:val="008939CD"/>
    <w:rsid w:val="00895F6C"/>
    <w:rsid w:val="008B768C"/>
    <w:rsid w:val="008C4DB1"/>
    <w:rsid w:val="008C4EAF"/>
    <w:rsid w:val="008C5176"/>
    <w:rsid w:val="008C7FD0"/>
    <w:rsid w:val="008E1DE7"/>
    <w:rsid w:val="008E707C"/>
    <w:rsid w:val="00900B08"/>
    <w:rsid w:val="00902155"/>
    <w:rsid w:val="00902FA3"/>
    <w:rsid w:val="009231A8"/>
    <w:rsid w:val="00923564"/>
    <w:rsid w:val="0092392E"/>
    <w:rsid w:val="009315F9"/>
    <w:rsid w:val="00933499"/>
    <w:rsid w:val="00935155"/>
    <w:rsid w:val="00935C98"/>
    <w:rsid w:val="00946945"/>
    <w:rsid w:val="00951248"/>
    <w:rsid w:val="0095152F"/>
    <w:rsid w:val="00954C49"/>
    <w:rsid w:val="00955E37"/>
    <w:rsid w:val="0097099F"/>
    <w:rsid w:val="00971265"/>
    <w:rsid w:val="00971997"/>
    <w:rsid w:val="00971FFC"/>
    <w:rsid w:val="00982A51"/>
    <w:rsid w:val="0098660A"/>
    <w:rsid w:val="00992EF5"/>
    <w:rsid w:val="009931C3"/>
    <w:rsid w:val="009B2C43"/>
    <w:rsid w:val="009B4EAE"/>
    <w:rsid w:val="009B7573"/>
    <w:rsid w:val="009C22F4"/>
    <w:rsid w:val="009C2A4B"/>
    <w:rsid w:val="009C2E98"/>
    <w:rsid w:val="009D3447"/>
    <w:rsid w:val="009D4711"/>
    <w:rsid w:val="009E053D"/>
    <w:rsid w:val="009E553C"/>
    <w:rsid w:val="009F1185"/>
    <w:rsid w:val="009F18CD"/>
    <w:rsid w:val="009F2A13"/>
    <w:rsid w:val="009F343F"/>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2148"/>
    <w:rsid w:val="00A67AB5"/>
    <w:rsid w:val="00A733B2"/>
    <w:rsid w:val="00A7377E"/>
    <w:rsid w:val="00A741C2"/>
    <w:rsid w:val="00A82F15"/>
    <w:rsid w:val="00A91760"/>
    <w:rsid w:val="00A92710"/>
    <w:rsid w:val="00A93B00"/>
    <w:rsid w:val="00A93C21"/>
    <w:rsid w:val="00AA3F0A"/>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46E04"/>
    <w:rsid w:val="00B53C56"/>
    <w:rsid w:val="00B57DAF"/>
    <w:rsid w:val="00B77EA6"/>
    <w:rsid w:val="00B81598"/>
    <w:rsid w:val="00B841F1"/>
    <w:rsid w:val="00B902B0"/>
    <w:rsid w:val="00B944D6"/>
    <w:rsid w:val="00BA6A5D"/>
    <w:rsid w:val="00BB4DF0"/>
    <w:rsid w:val="00BC289F"/>
    <w:rsid w:val="00BC2D50"/>
    <w:rsid w:val="00BC5361"/>
    <w:rsid w:val="00BC5460"/>
    <w:rsid w:val="00BC6B50"/>
    <w:rsid w:val="00BD086E"/>
    <w:rsid w:val="00BD0E25"/>
    <w:rsid w:val="00BD536E"/>
    <w:rsid w:val="00BE7C82"/>
    <w:rsid w:val="00BF5BD6"/>
    <w:rsid w:val="00C03E31"/>
    <w:rsid w:val="00C137C6"/>
    <w:rsid w:val="00C33E72"/>
    <w:rsid w:val="00C354B2"/>
    <w:rsid w:val="00C35554"/>
    <w:rsid w:val="00C42709"/>
    <w:rsid w:val="00C533CC"/>
    <w:rsid w:val="00C5751C"/>
    <w:rsid w:val="00C61BFC"/>
    <w:rsid w:val="00C61D82"/>
    <w:rsid w:val="00C62B85"/>
    <w:rsid w:val="00C65438"/>
    <w:rsid w:val="00C70D60"/>
    <w:rsid w:val="00C87FD8"/>
    <w:rsid w:val="00C91381"/>
    <w:rsid w:val="00C91CBB"/>
    <w:rsid w:val="00CA6765"/>
    <w:rsid w:val="00CB4E70"/>
    <w:rsid w:val="00CC09B6"/>
    <w:rsid w:val="00CC666F"/>
    <w:rsid w:val="00CD1E3F"/>
    <w:rsid w:val="00CE44F6"/>
    <w:rsid w:val="00CE49DA"/>
    <w:rsid w:val="00CE7B61"/>
    <w:rsid w:val="00D00095"/>
    <w:rsid w:val="00D03D17"/>
    <w:rsid w:val="00D066FC"/>
    <w:rsid w:val="00D114F0"/>
    <w:rsid w:val="00D1334C"/>
    <w:rsid w:val="00D20620"/>
    <w:rsid w:val="00D254F7"/>
    <w:rsid w:val="00D26091"/>
    <w:rsid w:val="00D2685C"/>
    <w:rsid w:val="00D34E7C"/>
    <w:rsid w:val="00D35489"/>
    <w:rsid w:val="00D36AFE"/>
    <w:rsid w:val="00D51276"/>
    <w:rsid w:val="00D7035F"/>
    <w:rsid w:val="00D83433"/>
    <w:rsid w:val="00DA0DCC"/>
    <w:rsid w:val="00DA634F"/>
    <w:rsid w:val="00DA65AC"/>
    <w:rsid w:val="00DB1913"/>
    <w:rsid w:val="00DB3FFC"/>
    <w:rsid w:val="00DC08F0"/>
    <w:rsid w:val="00DC410D"/>
    <w:rsid w:val="00DC5A81"/>
    <w:rsid w:val="00DC68CA"/>
    <w:rsid w:val="00DC7CBA"/>
    <w:rsid w:val="00DD73B7"/>
    <w:rsid w:val="00DF1838"/>
    <w:rsid w:val="00DF28BC"/>
    <w:rsid w:val="00DF34B9"/>
    <w:rsid w:val="00E01053"/>
    <w:rsid w:val="00E043B1"/>
    <w:rsid w:val="00E07ACF"/>
    <w:rsid w:val="00E259A2"/>
    <w:rsid w:val="00E30918"/>
    <w:rsid w:val="00E32FD1"/>
    <w:rsid w:val="00E331A1"/>
    <w:rsid w:val="00E33202"/>
    <w:rsid w:val="00E336A9"/>
    <w:rsid w:val="00E472B1"/>
    <w:rsid w:val="00E50624"/>
    <w:rsid w:val="00E52C94"/>
    <w:rsid w:val="00E568DF"/>
    <w:rsid w:val="00E631A2"/>
    <w:rsid w:val="00E64269"/>
    <w:rsid w:val="00E82267"/>
    <w:rsid w:val="00E853CE"/>
    <w:rsid w:val="00E867B6"/>
    <w:rsid w:val="00EA010F"/>
    <w:rsid w:val="00EA1359"/>
    <w:rsid w:val="00EB4DB2"/>
    <w:rsid w:val="00EB755F"/>
    <w:rsid w:val="00EC3397"/>
    <w:rsid w:val="00EC705C"/>
    <w:rsid w:val="00ED1B63"/>
    <w:rsid w:val="00ED3C1F"/>
    <w:rsid w:val="00ED4085"/>
    <w:rsid w:val="00ED420E"/>
    <w:rsid w:val="00ED6FBE"/>
    <w:rsid w:val="00EE2F57"/>
    <w:rsid w:val="00EF4C34"/>
    <w:rsid w:val="00EF77C6"/>
    <w:rsid w:val="00F02C74"/>
    <w:rsid w:val="00F05438"/>
    <w:rsid w:val="00F057D1"/>
    <w:rsid w:val="00F1361C"/>
    <w:rsid w:val="00F156F0"/>
    <w:rsid w:val="00F160C7"/>
    <w:rsid w:val="00F23E99"/>
    <w:rsid w:val="00F2408F"/>
    <w:rsid w:val="00F240E9"/>
    <w:rsid w:val="00F36D8F"/>
    <w:rsid w:val="00F417B1"/>
    <w:rsid w:val="00F42866"/>
    <w:rsid w:val="00F45853"/>
    <w:rsid w:val="00F55627"/>
    <w:rsid w:val="00F602DF"/>
    <w:rsid w:val="00F73E88"/>
    <w:rsid w:val="00F754A1"/>
    <w:rsid w:val="00F81FD9"/>
    <w:rsid w:val="00F82382"/>
    <w:rsid w:val="00F841AA"/>
    <w:rsid w:val="00F84A94"/>
    <w:rsid w:val="00F87E96"/>
    <w:rsid w:val="00FA0B2E"/>
    <w:rsid w:val="00FA23E8"/>
    <w:rsid w:val="00FD3CC1"/>
    <w:rsid w:val="00FF1E02"/>
    <w:rsid w:val="00FF2C32"/>
    <w:rsid w:val="00FF30B4"/>
    <w:rsid w:val="053A62B5"/>
    <w:rsid w:val="0A2032A3"/>
    <w:rsid w:val="0B8A37D8"/>
    <w:rsid w:val="0CFF7BF4"/>
    <w:rsid w:val="10C055FF"/>
    <w:rsid w:val="118107EC"/>
    <w:rsid w:val="11DD6519"/>
    <w:rsid w:val="16BB723D"/>
    <w:rsid w:val="18015F3F"/>
    <w:rsid w:val="1BE8440E"/>
    <w:rsid w:val="1D155CEE"/>
    <w:rsid w:val="1E7E1EE4"/>
    <w:rsid w:val="1EFB219F"/>
    <w:rsid w:val="20F57F95"/>
    <w:rsid w:val="240371BF"/>
    <w:rsid w:val="25711CC6"/>
    <w:rsid w:val="25C741E6"/>
    <w:rsid w:val="27842671"/>
    <w:rsid w:val="29FD04D3"/>
    <w:rsid w:val="2ABE7A3E"/>
    <w:rsid w:val="2CA234A8"/>
    <w:rsid w:val="2EFA178C"/>
    <w:rsid w:val="2FDF6F96"/>
    <w:rsid w:val="30B46D73"/>
    <w:rsid w:val="319F7F4E"/>
    <w:rsid w:val="322320AB"/>
    <w:rsid w:val="383D272C"/>
    <w:rsid w:val="39AE70AB"/>
    <w:rsid w:val="3C0C0783"/>
    <w:rsid w:val="3D32D53E"/>
    <w:rsid w:val="3F9F3A96"/>
    <w:rsid w:val="3FEF80E4"/>
    <w:rsid w:val="405F1F2B"/>
    <w:rsid w:val="41085755"/>
    <w:rsid w:val="48BF60AB"/>
    <w:rsid w:val="493C27E9"/>
    <w:rsid w:val="496F39ED"/>
    <w:rsid w:val="49FF41D3"/>
    <w:rsid w:val="4AFF4AAA"/>
    <w:rsid w:val="4BE068DB"/>
    <w:rsid w:val="4BF6002B"/>
    <w:rsid w:val="4E2B7129"/>
    <w:rsid w:val="4ECE2238"/>
    <w:rsid w:val="51DB4B86"/>
    <w:rsid w:val="535F24BF"/>
    <w:rsid w:val="55333C3E"/>
    <w:rsid w:val="5F7B86A6"/>
    <w:rsid w:val="64CA39A1"/>
    <w:rsid w:val="69630ADE"/>
    <w:rsid w:val="6C4A05C8"/>
    <w:rsid w:val="6D3B1A89"/>
    <w:rsid w:val="6EFEEA81"/>
    <w:rsid w:val="6FDF168E"/>
    <w:rsid w:val="71BF4EC2"/>
    <w:rsid w:val="72734D90"/>
    <w:rsid w:val="7412278C"/>
    <w:rsid w:val="7904082E"/>
    <w:rsid w:val="79E7B28D"/>
    <w:rsid w:val="7ADBB9F1"/>
    <w:rsid w:val="7BCD2ACD"/>
    <w:rsid w:val="7BD18CC5"/>
    <w:rsid w:val="7BFFD486"/>
    <w:rsid w:val="7F6DC76F"/>
    <w:rsid w:val="7F9F20EE"/>
    <w:rsid w:val="7FBEF218"/>
    <w:rsid w:val="7FED172D"/>
    <w:rsid w:val="9E3A10E2"/>
    <w:rsid w:val="9F7F6F04"/>
    <w:rsid w:val="A7ED2432"/>
    <w:rsid w:val="ADBEE352"/>
    <w:rsid w:val="BDC99AF9"/>
    <w:rsid w:val="BF7FDF67"/>
    <w:rsid w:val="BFFD8B1A"/>
    <w:rsid w:val="D7EE7883"/>
    <w:rsid w:val="D85AF6DD"/>
    <w:rsid w:val="F1FB4A98"/>
    <w:rsid w:val="F2E1F9D4"/>
    <w:rsid w:val="F57DD852"/>
    <w:rsid w:val="F7880819"/>
    <w:rsid w:val="FABB2BBF"/>
    <w:rsid w:val="FBFFBBDD"/>
    <w:rsid w:val="FDBF7CC3"/>
    <w:rsid w:val="FDEB65CD"/>
    <w:rsid w:val="FEFF667D"/>
    <w:rsid w:val="FFDEE42A"/>
    <w:rsid w:val="FFFF7CDF"/>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8"/>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9"/>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20"/>
    <w:unhideWhenUsed/>
    <w:qFormat/>
    <w:uiPriority w:val="9"/>
    <w:pPr>
      <w:keepNext/>
      <w:keepLines/>
      <w:spacing w:before="260" w:after="260" w:line="416" w:lineRule="auto"/>
      <w:outlineLvl w:val="2"/>
    </w:pPr>
    <w:rPr>
      <w:b/>
      <w:bCs/>
      <w:sz w:val="32"/>
      <w:szCs w:val="3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customStyle="1" w:styleId="2">
    <w:name w:val="正文-啊"/>
    <w:basedOn w:val="1"/>
    <w:qFormat/>
    <w:uiPriority w:val="99"/>
    <w:pPr>
      <w:spacing w:beforeLines="100" w:line="276" w:lineRule="auto"/>
      <w:ind w:left="210" w:right="210" w:firstLine="600"/>
    </w:pPr>
    <w:rPr>
      <w:rFonts w:ascii="微软雅黑" w:hAnsi="微软雅黑" w:cs="微软雅黑"/>
      <w:color w:val="000000"/>
      <w:sz w:val="24"/>
    </w:rPr>
  </w:style>
  <w:style w:type="paragraph" w:styleId="6">
    <w:name w:val="Body Text"/>
    <w:basedOn w:val="1"/>
    <w:link w:val="26"/>
    <w:qFormat/>
    <w:uiPriority w:val="99"/>
    <w:pPr>
      <w:spacing w:beforeLines="30"/>
    </w:pPr>
    <w:rPr>
      <w:rFonts w:ascii="仿宋_GB2312" w:eastAsia="仿宋_GB2312"/>
      <w:kern w:val="0"/>
      <w:sz w:val="30"/>
    </w:rPr>
  </w:style>
  <w:style w:type="paragraph" w:styleId="7">
    <w:name w:val="toc 3"/>
    <w:basedOn w:val="1"/>
    <w:next w:val="1"/>
    <w:unhideWhenUsed/>
    <w:qFormat/>
    <w:uiPriority w:val="39"/>
    <w:pPr>
      <w:tabs>
        <w:tab w:val="right" w:leader="dot" w:pos="8296"/>
      </w:tabs>
      <w:ind w:left="840" w:leftChars="400"/>
    </w:pPr>
  </w:style>
  <w:style w:type="paragraph" w:styleId="8">
    <w:name w:val="Balloon Text"/>
    <w:basedOn w:val="1"/>
    <w:link w:val="30"/>
    <w:semiHidden/>
    <w:unhideWhenUsed/>
    <w:qFormat/>
    <w:uiPriority w:val="99"/>
    <w:rPr>
      <w:sz w:val="18"/>
      <w:szCs w:val="18"/>
    </w:rPr>
  </w:style>
  <w:style w:type="paragraph" w:styleId="9">
    <w:name w:val="footer"/>
    <w:basedOn w:val="1"/>
    <w:link w:val="24"/>
    <w:qFormat/>
    <w:uiPriority w:val="99"/>
    <w:pPr>
      <w:tabs>
        <w:tab w:val="center" w:pos="4153"/>
        <w:tab w:val="right" w:pos="8306"/>
      </w:tabs>
      <w:snapToGrid w:val="0"/>
      <w:jc w:val="left"/>
    </w:pPr>
    <w:rPr>
      <w:rFonts w:ascii="Calibri" w:hAnsi="Calibri"/>
      <w:kern w:val="0"/>
      <w:sz w:val="18"/>
      <w:szCs w:val="18"/>
    </w:rPr>
  </w:style>
  <w:style w:type="paragraph" w:styleId="10">
    <w:name w:val="header"/>
    <w:basedOn w:val="1"/>
    <w:link w:val="22"/>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1">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2">
    <w:name w:val="toc 2"/>
    <w:basedOn w:val="1"/>
    <w:next w:val="1"/>
    <w:unhideWhenUsed/>
    <w:qFormat/>
    <w:uiPriority w:val="39"/>
    <w:pPr>
      <w:tabs>
        <w:tab w:val="right" w:leader="dot" w:pos="8296"/>
      </w:tabs>
      <w:ind w:left="420" w:leftChars="200"/>
    </w:pPr>
  </w:style>
  <w:style w:type="table" w:styleId="14">
    <w:name w:val="Table Grid"/>
    <w:basedOn w:val="1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basedOn w:val="15"/>
    <w:qFormat/>
    <w:uiPriority w:val="99"/>
    <w:rPr>
      <w:b/>
    </w:rPr>
  </w:style>
  <w:style w:type="character" w:styleId="17">
    <w:name w:val="Hyperlink"/>
    <w:basedOn w:val="15"/>
    <w:unhideWhenUsed/>
    <w:qFormat/>
    <w:uiPriority w:val="99"/>
    <w:rPr>
      <w:color w:val="0000FF" w:themeColor="hyperlink"/>
      <w:u w:val="single"/>
    </w:rPr>
  </w:style>
  <w:style w:type="character" w:customStyle="1" w:styleId="18">
    <w:name w:val="标题 1 Char"/>
    <w:basedOn w:val="15"/>
    <w:link w:val="3"/>
    <w:qFormat/>
    <w:uiPriority w:val="9"/>
    <w:rPr>
      <w:rFonts w:ascii="Times New Roman" w:hAnsi="Times New Roman"/>
      <w:b/>
      <w:bCs/>
      <w:kern w:val="44"/>
      <w:sz w:val="44"/>
      <w:szCs w:val="44"/>
    </w:rPr>
  </w:style>
  <w:style w:type="character" w:customStyle="1" w:styleId="19">
    <w:name w:val="标题 2 Char"/>
    <w:basedOn w:val="15"/>
    <w:link w:val="4"/>
    <w:qFormat/>
    <w:uiPriority w:val="9"/>
    <w:rPr>
      <w:rFonts w:asciiTheme="majorHAnsi" w:hAnsiTheme="majorHAnsi" w:eastAsiaTheme="majorEastAsia" w:cstheme="majorBidi"/>
      <w:b/>
      <w:bCs/>
      <w:kern w:val="2"/>
      <w:sz w:val="32"/>
      <w:szCs w:val="32"/>
    </w:rPr>
  </w:style>
  <w:style w:type="character" w:customStyle="1" w:styleId="20">
    <w:name w:val="标题 3 Char"/>
    <w:basedOn w:val="15"/>
    <w:link w:val="5"/>
    <w:qFormat/>
    <w:uiPriority w:val="9"/>
    <w:rPr>
      <w:rFonts w:ascii="Times New Roman" w:hAnsi="Times New Roman"/>
      <w:b/>
      <w:bCs/>
      <w:kern w:val="2"/>
      <w:sz w:val="32"/>
      <w:szCs w:val="32"/>
    </w:rPr>
  </w:style>
  <w:style w:type="character" w:customStyle="1" w:styleId="21">
    <w:name w:val="Header Char"/>
    <w:basedOn w:val="15"/>
    <w:semiHidden/>
    <w:qFormat/>
    <w:uiPriority w:val="99"/>
    <w:rPr>
      <w:rFonts w:ascii="Times New Roman" w:hAnsi="Times New Roman"/>
      <w:sz w:val="18"/>
      <w:szCs w:val="18"/>
    </w:rPr>
  </w:style>
  <w:style w:type="character" w:customStyle="1" w:styleId="22">
    <w:name w:val="页眉 Char"/>
    <w:link w:val="10"/>
    <w:semiHidden/>
    <w:qFormat/>
    <w:locked/>
    <w:uiPriority w:val="99"/>
    <w:rPr>
      <w:sz w:val="18"/>
    </w:rPr>
  </w:style>
  <w:style w:type="character" w:customStyle="1" w:styleId="23">
    <w:name w:val="Footer Char"/>
    <w:basedOn w:val="15"/>
    <w:semiHidden/>
    <w:qFormat/>
    <w:uiPriority w:val="99"/>
    <w:rPr>
      <w:rFonts w:ascii="Times New Roman" w:hAnsi="Times New Roman"/>
      <w:sz w:val="18"/>
      <w:szCs w:val="18"/>
    </w:rPr>
  </w:style>
  <w:style w:type="character" w:customStyle="1" w:styleId="24">
    <w:name w:val="页脚 Char"/>
    <w:link w:val="9"/>
    <w:qFormat/>
    <w:locked/>
    <w:uiPriority w:val="99"/>
    <w:rPr>
      <w:sz w:val="18"/>
    </w:rPr>
  </w:style>
  <w:style w:type="character" w:customStyle="1" w:styleId="25">
    <w:name w:val="Body Text Char"/>
    <w:basedOn w:val="15"/>
    <w:semiHidden/>
    <w:qFormat/>
    <w:uiPriority w:val="99"/>
    <w:rPr>
      <w:rFonts w:ascii="Times New Roman" w:hAnsi="Times New Roman"/>
      <w:szCs w:val="24"/>
    </w:rPr>
  </w:style>
  <w:style w:type="character" w:customStyle="1" w:styleId="26">
    <w:name w:val="正文文本 Char"/>
    <w:link w:val="6"/>
    <w:qFormat/>
    <w:locked/>
    <w:uiPriority w:val="99"/>
    <w:rPr>
      <w:rFonts w:ascii="仿宋_GB2312" w:hAnsi="Times New Roman" w:eastAsia="仿宋_GB2312"/>
      <w:sz w:val="24"/>
    </w:rPr>
  </w:style>
  <w:style w:type="paragraph" w:customStyle="1" w:styleId="27">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8">
    <w:name w:val="List Paragraph"/>
    <w:basedOn w:val="1"/>
    <w:qFormat/>
    <w:uiPriority w:val="34"/>
    <w:pPr>
      <w:ind w:firstLine="420" w:firstLineChars="200"/>
    </w:pPr>
  </w:style>
  <w:style w:type="paragraph" w:customStyle="1" w:styleId="29">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character" w:customStyle="1" w:styleId="30">
    <w:name w:val="批注框文本 Char"/>
    <w:basedOn w:val="15"/>
    <w:link w:val="8"/>
    <w:semiHidden/>
    <w:qFormat/>
    <w:uiPriority w:val="99"/>
    <w:rPr>
      <w:rFonts w:ascii="Times New Roman" w:hAnsi="Times New Roman"/>
      <w:kern w:val="2"/>
      <w:sz w:val="18"/>
      <w:szCs w:val="18"/>
    </w:rPr>
  </w:style>
  <w:style w:type="paragraph" w:customStyle="1" w:styleId="31">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character" w:customStyle="1" w:styleId="32">
    <w:name w:val="font01"/>
    <w:basedOn w:val="15"/>
    <w:qFormat/>
    <w:uiPriority w:val="0"/>
    <w:rPr>
      <w:rFonts w:hint="eastAsia" w:ascii="宋体" w:hAnsi="宋体" w:eastAsia="宋体" w:cs="宋体"/>
      <w:color w:val="000000"/>
      <w:sz w:val="18"/>
      <w:szCs w:val="18"/>
      <w:u w:val="none"/>
    </w:rPr>
  </w:style>
  <w:style w:type="paragraph" w:customStyle="1" w:styleId="33">
    <w:name w:val="WPSOffice手动目录 1"/>
    <w:qFormat/>
    <w:uiPriority w:val="0"/>
    <w:rPr>
      <w:rFonts w:ascii="Times New Roman" w:hAnsi="Times New Roman" w:eastAsia="宋体" w:cs="Times New Roman"/>
      <w:lang w:val="en-US" w:eastAsia="zh-CN" w:bidi="ar-SA"/>
    </w:rPr>
  </w:style>
  <w:style w:type="paragraph" w:customStyle="1" w:styleId="34">
    <w:name w:val="WPSOffice手动目录 2"/>
    <w:qFormat/>
    <w:uiPriority w:val="0"/>
    <w:pPr>
      <w:ind w:left="200" w:leftChars="200"/>
    </w:pPr>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hart" Target="charts/chart3.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chart" Target="charts/chart7.xml"/><Relationship Id="rId12" Type="http://schemas.openxmlformats.org/officeDocument/2006/relationships/chart" Target="charts/chart6.xml"/><Relationship Id="rId11" Type="http://schemas.openxmlformats.org/officeDocument/2006/relationships/chart" Target="charts/chart5.xml"/><Relationship Id="rId10" Type="http://schemas.openxmlformats.org/officeDocument/2006/relationships/chart" Target="charts/chart4.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7.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5.xlsx"/></Relationships>
</file>

<file path=word/charts/_rels/chart3.xml.rels><?xml version="1.0" encoding="UTF-8" standalone="yes"?>
<Relationships xmlns="http://schemas.openxmlformats.org/package/2006/relationships"><Relationship Id="rId1" Type="http://schemas.openxmlformats.org/officeDocument/2006/relationships/package" Target="../embeddings/Workbook4.xlsx"/></Relationships>
</file>

<file path=word/charts/_rels/chart4.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5.xml.rels><?xml version="1.0" encoding="UTF-8" standalone="yes"?>
<Relationships xmlns="http://schemas.openxmlformats.org/package/2006/relationships"><Relationship Id="rId1" Type="http://schemas.openxmlformats.org/officeDocument/2006/relationships/package" Target="../embeddings/Workbook3.xlsx"/></Relationships>
</file>

<file path=word/charts/_rels/chart6.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7.xml.rels><?xml version="1.0" encoding="UTF-8" standalone="yes"?>
<Relationships xmlns="http://schemas.openxmlformats.org/package/2006/relationships"><Relationship Id="rId1" Type="http://schemas.openxmlformats.org/officeDocument/2006/relationships/package" Target="../embeddings/Workbook6.xlsx"/></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true"/>
          <a:lstStyle/>
          <a:p>
            <a:pPr>
              <a:defRPr lang="zh-CN" sz="1600" b="1" i="0" u="none" strike="noStrike" kern="1200" baseline="0">
                <a:solidFill>
                  <a:schemeClr val="tx1">
                    <a:lumMod val="65000"/>
                    <a:lumOff val="35000"/>
                  </a:schemeClr>
                </a:solidFill>
                <a:latin typeface="+mn-lt"/>
                <a:ea typeface="+mn-ea"/>
                <a:cs typeface="+mn-cs"/>
              </a:defRPr>
            </a:pPr>
            <a:r>
              <a:rPr lang="zh-CN"/>
              <a:t>收、支决算总计变动情况图</a:t>
            </a:r>
            <a:endParaRPr lang="zh-CN"/>
          </a:p>
        </c:rich>
      </c:tx>
      <c:layout/>
      <c:overlay val="false"/>
      <c:spPr>
        <a:noFill/>
        <a:ln>
          <a:noFill/>
        </a:ln>
        <a:effectLst/>
      </c:spPr>
    </c:title>
    <c:autoTitleDeleted val="false"/>
    <c:plotArea>
      <c:layout/>
      <c:barChart>
        <c:barDir val="col"/>
        <c:grouping val="clustered"/>
        <c:varyColors val="false"/>
        <c:ser>
          <c:idx val="0"/>
          <c:order val="0"/>
          <c:tx>
            <c:strRef>
              <c:f>Sheet1!$B$1</c:f>
              <c:strCache>
                <c:ptCount val="1"/>
                <c:pt idx="0">
                  <c:v>2022年</c:v>
                </c:pt>
              </c:strCache>
            </c:strRef>
          </c:tx>
          <c:spPr>
            <a:gradFill rotWithShape="true">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false"/>
            </a:gradFill>
            <a:ln>
              <a:noFill/>
            </a:ln>
            <a:effectLst>
              <a:outerShdw blurRad="57150" dist="19050" dir="5400000" algn="ctr" rotWithShape="0">
                <a:srgbClr val="000000">
                  <a:alpha val="63000"/>
                </a:srgbClr>
              </a:outerShdw>
            </a:effectLst>
          </c:spPr>
          <c:invertIfNegative val="false"/>
          <c:dLbls>
            <c:dLbl>
              <c:idx val="0"/>
              <c:layout/>
              <c:tx>
                <c:rich>
                  <a:bodyPr rot="0" spcFirstLastPara="1"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r>
                      <a:rPr lang="en-US" altLang="zh-CN"/>
                      <a:t>175.2</a:t>
                    </a:r>
                    <a:endParaRPr altLang="en-US"/>
                  </a:p>
                </c:rich>
              </c:tx>
              <c:dLblPos val="outEnd"/>
              <c:showLegendKey val="false"/>
              <c:showVal val="true"/>
              <c:showCatName val="false"/>
              <c:showSerName val="false"/>
              <c:showPercent val="false"/>
              <c:showBubbleSize val="false"/>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true">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prstDash val="solid"/>
                      <a:round/>
                    </a:ln>
                    <a:effectLst/>
                  </c:spPr>
                </c15:leaderLines>
              </c:ext>
            </c:extLst>
          </c:dLbls>
          <c:cat>
            <c:strRef>
              <c:f>Sheet1!$A$2:$A$4</c:f>
              <c:strCache>
                <c:ptCount val="1"/>
                <c:pt idx="0">
                  <c:v>收、支总计 </c:v>
                </c:pt>
              </c:strCache>
            </c:strRef>
          </c:cat>
          <c:val>
            <c:numRef>
              <c:f>Sheet1!$B$2:$B$3</c:f>
              <c:numCache>
                <c:formatCode>General</c:formatCode>
                <c:ptCount val="2"/>
                <c:pt idx="0">
                  <c:v>179.68</c:v>
                </c:pt>
              </c:numCache>
            </c:numRef>
          </c:val>
        </c:ser>
        <c:ser>
          <c:idx val="1"/>
          <c:order val="1"/>
          <c:tx>
            <c:strRef>
              <c:f>Sheet1!$C$1</c:f>
              <c:strCache>
                <c:ptCount val="1"/>
                <c:pt idx="0">
                  <c:v>2023年</c:v>
                </c:pt>
              </c:strCache>
            </c:strRef>
          </c:tx>
          <c:spPr>
            <a:gradFill rotWithShape="true">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false"/>
            </a:gradFill>
            <a:ln>
              <a:noFill/>
            </a:ln>
            <a:effectLst>
              <a:outerShdw blurRad="57150" dist="19050" dir="5400000" algn="ctr" rotWithShape="0">
                <a:srgbClr val="000000">
                  <a:alpha val="63000"/>
                </a:srgbClr>
              </a:outerShdw>
            </a:effectLst>
          </c:spPr>
          <c:invertIfNegative val="false"/>
          <c:dLbls>
            <c:spPr>
              <a:noFill/>
              <a:ln>
                <a:noFill/>
              </a:ln>
              <a:effectLst/>
            </c:spPr>
            <c:txPr>
              <a:bodyPr rot="0" spcFirstLastPara="1" vertOverflow="ellipsis" vert="horz" wrap="square" lIns="38100" tIns="19050" rIns="38100" bIns="19050" anchor="ctr" anchorCtr="true">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prstDash val="solid"/>
                      <a:round/>
                    </a:ln>
                    <a:effectLst/>
                  </c:spPr>
                </c15:leaderLines>
              </c:ext>
            </c:extLst>
          </c:dLbls>
          <c:cat>
            <c:strRef>
              <c:f>Sheet1!$A$2:$A$4</c:f>
              <c:strCache>
                <c:ptCount val="1"/>
                <c:pt idx="0">
                  <c:v>收、支总计 </c:v>
                </c:pt>
              </c:strCache>
            </c:strRef>
          </c:cat>
          <c:val>
            <c:numRef>
              <c:f>Sheet1!$C$2:$C$3</c:f>
              <c:numCache>
                <c:formatCode>General</c:formatCode>
                <c:ptCount val="2"/>
                <c:pt idx="0">
                  <c:v>224.83</c:v>
                </c:pt>
              </c:numCache>
            </c:numRef>
          </c:val>
        </c:ser>
        <c:dLbls>
          <c:showLegendKey val="false"/>
          <c:showVal val="true"/>
          <c:showCatName val="false"/>
          <c:showSerName val="false"/>
          <c:showPercent val="false"/>
          <c:showBubbleSize val="false"/>
        </c:dLbls>
        <c:gapWidth val="100"/>
        <c:overlap val="-24"/>
        <c:axId val="162934784"/>
        <c:axId val="162936320"/>
      </c:barChart>
      <c:catAx>
        <c:axId val="162934784"/>
        <c:scaling>
          <c:orientation val="minMax"/>
        </c:scaling>
        <c:delete val="false"/>
        <c:axPos val="b"/>
        <c:numFmt formatCode="General" sourceLinked="true"/>
        <c:majorTickMark val="none"/>
        <c:minorTickMark val="none"/>
        <c:tickLblPos val="nextTo"/>
        <c:spPr>
          <a:noFill/>
          <a:ln w="12700" cap="flat" cmpd="sng" algn="ctr">
            <a:solidFill>
              <a:schemeClr val="tx1">
                <a:lumMod val="15000"/>
                <a:lumOff val="85000"/>
              </a:schemeClr>
            </a:solidFill>
            <a:prstDash val="solid"/>
            <a:round/>
          </a:ln>
          <a:effectLst/>
        </c:spPr>
        <c:txPr>
          <a:bodyPr rot="-6000000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62936320"/>
        <c:crosses val="autoZero"/>
        <c:auto val="true"/>
        <c:lblAlgn val="ctr"/>
        <c:lblOffset val="100"/>
        <c:noMultiLvlLbl val="false"/>
      </c:catAx>
      <c:valAx>
        <c:axId val="162936320"/>
        <c:scaling>
          <c:orientation val="minMax"/>
        </c:scaling>
        <c:delete val="false"/>
        <c:axPos val="l"/>
        <c:majorGridlines>
          <c:spPr>
            <a:ln w="9525" cap="flat" cmpd="sng" algn="ctr">
              <a:solidFill>
                <a:schemeClr val="tx1">
                  <a:lumMod val="15000"/>
                  <a:lumOff val="85000"/>
                </a:schemeClr>
              </a:solidFill>
              <a:prstDash val="solid"/>
              <a:round/>
            </a:ln>
            <a:effectLst/>
          </c:spPr>
        </c:majorGridlines>
        <c:numFmt formatCode="General" sourceLinked="true"/>
        <c:majorTickMark val="none"/>
        <c:minorTickMark val="none"/>
        <c:tickLblPos val="nextTo"/>
        <c:spPr>
          <a:noFill/>
          <a:ln w="9525" cap="flat" cmpd="sng" algn="ctr">
            <a:noFill/>
            <a:prstDash val="solid"/>
            <a:round/>
          </a:ln>
          <a:effectLst/>
        </c:spPr>
        <c:txPr>
          <a:bodyPr rot="-6000000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62934784"/>
        <c:crosses val="autoZero"/>
        <c:crossBetween val="between"/>
      </c:valAx>
      <c:spPr>
        <a:noFill/>
        <a:ln>
          <a:noFill/>
        </a:ln>
        <a:effectLst/>
      </c:spPr>
    </c:plotArea>
    <c:legend>
      <c:legendPos val="b"/>
      <c:layout/>
      <c:overlay val="false"/>
      <c:spPr>
        <a:noFill/>
        <a:ln>
          <a:noFill/>
        </a:ln>
        <a:effectLst/>
      </c:spPr>
      <c:txPr>
        <a:bodyPr rot="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true"/>
          <a:lstStyle/>
          <a:p>
            <a:pPr>
              <a:defRPr lang="zh-CN" sz="1800" b="1" i="0" u="none" strike="noStrike" kern="1200" baseline="0">
                <a:solidFill>
                  <a:schemeClr val="dk1">
                    <a:lumMod val="75000"/>
                    <a:lumOff val="25000"/>
                  </a:schemeClr>
                </a:solidFill>
                <a:latin typeface="+mn-lt"/>
                <a:ea typeface="+mn-ea"/>
                <a:cs typeface="+mn-cs"/>
              </a:defRPr>
            </a:pPr>
            <a:r>
              <a:rPr lang="zh-CN" altLang="zh-CN" sz="1800" b="1" i="0" u="none" strike="noStrike" baseline="0">
                <a:effectLst/>
              </a:rPr>
              <a:t>收入决算结构图</a:t>
            </a:r>
            <a:endParaRPr lang="zh-CN" altLang="en-US"/>
          </a:p>
        </c:rich>
      </c:tx>
      <c:layout>
        <c:manualLayout>
          <c:xMode val="edge"/>
          <c:yMode val="edge"/>
          <c:x val="0.293921136570257"/>
          <c:y val="0"/>
        </c:manualLayout>
      </c:layout>
      <c:overlay val="false"/>
      <c:spPr>
        <a:noFill/>
        <a:ln>
          <a:noFill/>
        </a:ln>
        <a:effectLst/>
      </c:spPr>
    </c:title>
    <c:autoTitleDeleted val="false"/>
    <c:plotArea>
      <c:layout/>
      <c:pieChart>
        <c:varyColors val="true"/>
        <c:ser>
          <c:idx val="0"/>
          <c:order val="0"/>
          <c:tx>
            <c:strRef>
              <c:f>Sheet1!$B$1</c:f>
              <c:strCache>
                <c:ptCount val="1"/>
                <c:pt idx="0">
                  <c:v>金额</c:v>
                </c:pt>
              </c:strCache>
            </c:strRef>
          </c:tx>
          <c:spPr>
            <a:solidFill>
              <a:schemeClr val="accent2"/>
            </a:solidFill>
          </c:spPr>
          <c:explosion val="0"/>
          <c:dPt>
            <c:idx val="0"/>
            <c:bubble3D val="false"/>
            <c:spPr>
              <a:solidFill>
                <a:schemeClr val="accent2"/>
              </a:solidFill>
              <a:ln>
                <a:solidFill>
                  <a:schemeClr val="accent2"/>
                </a:solidFill>
              </a:ln>
              <a:effectLst>
                <a:outerShdw blurRad="254000" sx="102000" sy="102000" algn="ctr" rotWithShape="0">
                  <a:prstClr val="black">
                    <a:alpha val="20000"/>
                  </a:prstClr>
                </a:outerShdw>
              </a:effectLst>
            </c:spPr>
          </c:dPt>
          <c:dPt>
            <c:idx val="1"/>
            <c:bubble3D val="false"/>
            <c:spPr>
              <a:solidFill>
                <a:schemeClr val="accent1"/>
              </a:solidFill>
              <a:ln>
                <a:noFill/>
              </a:ln>
              <a:effectLst>
                <a:outerShdw blurRad="254000" sx="102000" sy="102000" algn="ctr" rotWithShape="0">
                  <a:prstClr val="black">
                    <a:alpha val="20000"/>
                  </a:prstClr>
                </a:outerShdw>
              </a:effectLst>
            </c:spPr>
          </c:dPt>
          <c:dLbls>
            <c:numFmt formatCode="0.00%" sourceLinked="false"/>
            <c:spPr>
              <a:pattFill prst="pct75">
                <a:fgClr>
                  <a:sysClr val="windowText" lastClr="000000">
                    <a:lumMod val="75000"/>
                    <a:lumOff val="25000"/>
                  </a:sysClr>
                </a:fgClr>
                <a:bgClr>
                  <a:sysClr val="windowText" lastClr="000000">
                    <a:lumMod val="65000"/>
                    <a:lumOff val="35000"/>
                  </a:sys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true">
                <a:spAutoFit/>
              </a:bodyPr>
              <a:lstStyle/>
              <a:p>
                <a:pPr>
                  <a:defRPr lang="zh-CN" sz="1000" b="1" i="0" u="none" strike="noStrike" kern="1200" baseline="0">
                    <a:solidFill>
                      <a:schemeClr val="lt1"/>
                    </a:solidFill>
                    <a:latin typeface="+mn-lt"/>
                    <a:ea typeface="+mn-ea"/>
                    <a:cs typeface="+mn-cs"/>
                  </a:defRPr>
                </a:pPr>
              </a:p>
            </c:txPr>
            <c:dLblPos val="ctr"/>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chemeClr val="dk1">
                          <a:lumMod val="50000"/>
                          <a:lumOff val="50000"/>
                        </a:schemeClr>
                      </a:solidFill>
                      <a:prstDash val="solid"/>
                      <a:round/>
                    </a:ln>
                    <a:effectLst/>
                  </c:spPr>
                </c15:leaderLines>
              </c:ext>
            </c:extLst>
          </c:dLbls>
          <c:cat>
            <c:strRef>
              <c:f>Sheet1!$A$2:$A$3</c:f>
              <c:strCache>
                <c:ptCount val="1"/>
                <c:pt idx="0">
                  <c:v>一般公共预算财政拨款收入</c:v>
                </c:pt>
              </c:strCache>
            </c:strRef>
          </c:cat>
          <c:val>
            <c:numRef>
              <c:f>Sheet1!$B$2:$B$3</c:f>
              <c:numCache>
                <c:formatCode>General</c:formatCode>
                <c:ptCount val="2"/>
                <c:pt idx="0">
                  <c:v>224.83</c:v>
                </c:pt>
              </c:numCache>
            </c:numRef>
          </c:val>
        </c:ser>
        <c:dLbls>
          <c:showLegendKey val="false"/>
          <c:showVal val="false"/>
          <c:showCatName val="false"/>
          <c:showSerName val="false"/>
          <c:showPercent val="true"/>
          <c:showBubbleSize val="false"/>
          <c:showLeaderLines val="true"/>
        </c:dLbls>
        <c:firstSliceAng val="0"/>
      </c:pieChart>
      <c:spPr>
        <a:noFill/>
        <a:ln>
          <a:noFill/>
        </a:ln>
        <a:effectLst/>
      </c:spPr>
    </c:plotArea>
    <c:legend>
      <c:legendPos val="r"/>
      <c:layout>
        <c:manualLayout>
          <c:xMode val="edge"/>
          <c:yMode val="edge"/>
          <c:x val="0.670295314882048"/>
          <c:y val="0.50158093377014"/>
          <c:w val="0.329704685117955"/>
          <c:h val="0.164234726133686"/>
        </c:manualLayout>
      </c:layout>
      <c:overlay val="false"/>
      <c:spPr>
        <a:solidFill>
          <a:schemeClr val="lt1">
            <a:lumMod val="95000"/>
            <a:alpha val="39000"/>
          </a:schemeClr>
        </a:solidFill>
        <a:ln>
          <a:noFill/>
        </a:ln>
        <a:effectLst/>
      </c:spPr>
      <c:txPr>
        <a:bodyPr rot="0" spcFirstLastPara="1" vertOverflow="ellipsis" vert="horz" wrap="square" anchor="ctr" anchorCtr="true"/>
        <a:lstStyle/>
        <a:p>
          <a:pPr>
            <a:defRPr lang="zh-CN" sz="900" b="0" i="0" u="none" strike="noStrike" kern="1200" baseline="0">
              <a:solidFill>
                <a:schemeClr val="dk1">
                  <a:lumMod val="75000"/>
                  <a:lumOff val="25000"/>
                </a:schemeClr>
              </a:solidFill>
              <a:latin typeface="+mn-lt"/>
              <a:ea typeface="+mn-ea"/>
              <a:cs typeface="+mn-cs"/>
            </a:defRPr>
          </a:pPr>
        </a:p>
      </c:txPr>
    </c:legend>
    <c:plotVisOnly val="true"/>
    <c:dispBlanksAs val="zero"/>
    <c:showDLblsOverMax val="false"/>
  </c:chart>
  <c:spPr>
    <a:gradFill flip="none" rotWithShape="true">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prstDash val="solid"/>
      <a:round/>
    </a:ln>
    <a:effectLst/>
  </c:spPr>
  <c:txPr>
    <a:bodyPr/>
    <a:lstStyle/>
    <a:p>
      <a:pPr>
        <a:defRPr lang="zh-CN"/>
      </a:pPr>
    </a:p>
  </c:txPr>
  <c:externalData r:id="rId1">
    <c:autoUpdate val="false"/>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true"/>
          <a:lstStyle/>
          <a:p>
            <a:pPr>
              <a:defRPr lang="zh-CN" sz="1800" b="1" i="0" u="none" strike="noStrike" kern="1200" baseline="0">
                <a:solidFill>
                  <a:schemeClr val="dk1">
                    <a:lumMod val="75000"/>
                    <a:lumOff val="25000"/>
                  </a:schemeClr>
                </a:solidFill>
                <a:latin typeface="+mn-lt"/>
                <a:ea typeface="+mn-ea"/>
                <a:cs typeface="+mn-cs"/>
              </a:defRPr>
            </a:pPr>
            <a:r>
              <a:rPr lang="zh-CN" altLang="zh-CN" sz="1800" b="1" i="0" u="none" strike="noStrike" baseline="0">
                <a:effectLst/>
              </a:rPr>
              <a:t>支出决算结构图</a:t>
            </a:r>
            <a:endParaRPr lang="zh-CN" altLang="en-US"/>
          </a:p>
        </c:rich>
      </c:tx>
      <c:layout/>
      <c:overlay val="false"/>
      <c:spPr>
        <a:noFill/>
        <a:ln>
          <a:noFill/>
        </a:ln>
        <a:effectLst/>
      </c:spPr>
    </c:title>
    <c:autoTitleDeleted val="false"/>
    <c:plotArea>
      <c:layout>
        <c:manualLayout>
          <c:layoutTarget val="inner"/>
          <c:xMode val="edge"/>
          <c:yMode val="edge"/>
          <c:x val="0.277105774278215"/>
          <c:y val="0.254919236417034"/>
          <c:w val="0.386166666666668"/>
          <c:h val="0.680469897209987"/>
        </c:manualLayout>
      </c:layout>
      <c:pieChart>
        <c:varyColors val="true"/>
        <c:ser>
          <c:idx val="0"/>
          <c:order val="0"/>
          <c:tx>
            <c:strRef>
              <c:f>Sheet1!$B$1</c:f>
              <c:strCache>
                <c:ptCount val="1"/>
                <c:pt idx="0">
                  <c:v>金额</c:v>
                </c:pt>
              </c:strCache>
            </c:strRef>
          </c:tx>
          <c:spPr>
            <a:solidFill>
              <a:schemeClr val="accent2"/>
            </a:solidFill>
          </c:spPr>
          <c:explosion val="0"/>
          <c:dPt>
            <c:idx val="0"/>
            <c:bubble3D val="false"/>
            <c:spPr>
              <a:solidFill>
                <a:schemeClr val="accent2"/>
              </a:solidFill>
              <a:ln>
                <a:noFill/>
              </a:ln>
              <a:effectLst>
                <a:outerShdw blurRad="254000" sx="102000" sy="102000" algn="ctr" rotWithShape="0">
                  <a:prstClr val="black">
                    <a:alpha val="20000"/>
                  </a:prstClr>
                </a:outerShdw>
              </a:effectLst>
            </c:spPr>
          </c:dPt>
          <c:dPt>
            <c:idx val="1"/>
            <c:bubble3D val="false"/>
            <c:spPr>
              <a:solidFill>
                <a:schemeClr val="accent1"/>
              </a:solidFill>
              <a:ln>
                <a:noFill/>
              </a:ln>
              <a:effectLst>
                <a:outerShdw blurRad="254000" sx="102000" sy="102000" algn="ctr" rotWithShape="0">
                  <a:prstClr val="black">
                    <a:alpha val="20000"/>
                  </a:prstClr>
                </a:outerShdw>
              </a:effectLst>
            </c:spPr>
          </c:dPt>
          <c:dLbls>
            <c:numFmt formatCode="0.00%" sourceLinked="false"/>
            <c:spPr>
              <a:pattFill prst="pct75">
                <a:fgClr>
                  <a:sysClr val="windowText" lastClr="000000">
                    <a:lumMod val="75000"/>
                    <a:lumOff val="25000"/>
                  </a:sysClr>
                </a:fgClr>
                <a:bgClr>
                  <a:sysClr val="windowText" lastClr="000000">
                    <a:lumMod val="65000"/>
                    <a:lumOff val="35000"/>
                  </a:sys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true">
                <a:spAutoFit/>
              </a:bodyPr>
              <a:lstStyle/>
              <a:p>
                <a:pPr>
                  <a:defRPr lang="zh-CN" sz="1000" b="1" i="0" u="none" strike="noStrike" kern="1200" baseline="0">
                    <a:solidFill>
                      <a:schemeClr val="lt1"/>
                    </a:solidFill>
                    <a:latin typeface="+mn-lt"/>
                    <a:ea typeface="+mn-ea"/>
                    <a:cs typeface="+mn-cs"/>
                  </a:defRPr>
                </a:pPr>
              </a:p>
            </c:txPr>
            <c:dLblPos val="ctr"/>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chemeClr val="dk1">
                          <a:lumMod val="50000"/>
                          <a:lumOff val="50000"/>
                        </a:schemeClr>
                      </a:solidFill>
                      <a:prstDash val="solid"/>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110.2</c:v>
                </c:pt>
                <c:pt idx="1">
                  <c:v>114.63</c:v>
                </c:pt>
              </c:numCache>
            </c:numRef>
          </c:val>
        </c:ser>
        <c:dLbls>
          <c:showLegendKey val="false"/>
          <c:showVal val="false"/>
          <c:showCatName val="false"/>
          <c:showSerName val="false"/>
          <c:showPercent val="true"/>
          <c:showBubbleSize val="false"/>
          <c:showLeaderLines val="true"/>
        </c:dLbls>
        <c:firstSliceAng val="0"/>
      </c:pieChart>
      <c:spPr>
        <a:noFill/>
        <a:ln>
          <a:noFill/>
        </a:ln>
        <a:effectLst/>
      </c:spPr>
    </c:plotArea>
    <c:legend>
      <c:legendPos val="r"/>
      <c:layout/>
      <c:overlay val="false"/>
      <c:spPr>
        <a:solidFill>
          <a:schemeClr val="lt1">
            <a:lumMod val="95000"/>
            <a:alpha val="39000"/>
          </a:schemeClr>
        </a:solidFill>
        <a:ln>
          <a:noFill/>
        </a:ln>
        <a:effectLst/>
      </c:spPr>
      <c:txPr>
        <a:bodyPr rot="0" spcFirstLastPara="1" vertOverflow="ellipsis" vert="horz" wrap="square" anchor="ctr" anchorCtr="true"/>
        <a:lstStyle/>
        <a:p>
          <a:pPr>
            <a:defRPr lang="zh-CN" sz="900" b="0" i="0" u="none" strike="noStrike" kern="1200" baseline="0">
              <a:solidFill>
                <a:schemeClr val="dk1">
                  <a:lumMod val="75000"/>
                  <a:lumOff val="25000"/>
                </a:schemeClr>
              </a:solidFill>
              <a:latin typeface="+mn-lt"/>
              <a:ea typeface="+mn-ea"/>
              <a:cs typeface="+mn-cs"/>
            </a:defRPr>
          </a:pPr>
        </a:p>
      </c:txPr>
    </c:legend>
    <c:plotVisOnly val="true"/>
    <c:dispBlanksAs val="zero"/>
    <c:showDLblsOverMax val="false"/>
  </c:chart>
  <c:spPr>
    <a:gradFill flip="none" rotWithShape="true">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prstDash val="solid"/>
      <a:round/>
    </a:ln>
    <a:effectLst/>
  </c:spPr>
  <c:txPr>
    <a:bodyPr/>
    <a:lstStyle/>
    <a:p>
      <a:pPr>
        <a:defRPr lang="zh-CN"/>
      </a:pPr>
    </a:p>
  </c:txPr>
  <c:externalData r:id="rId1">
    <c:autoUpdate val="false"/>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true"/>
          <a:lstStyle/>
          <a:p>
            <a:pPr>
              <a:defRPr lang="zh-CN" sz="1600" b="1" i="0" u="none" strike="noStrike" kern="1200" cap="none" spc="0" normalizeH="0" baseline="0">
                <a:solidFill>
                  <a:schemeClr val="dk1">
                    <a:lumMod val="50000"/>
                    <a:lumOff val="50000"/>
                  </a:schemeClr>
                </a:solidFill>
                <a:latin typeface="+mj-lt"/>
                <a:ea typeface="+mj-ea"/>
                <a:cs typeface="+mj-cs"/>
              </a:defRPr>
            </a:pPr>
            <a:r>
              <a:rPr lang="zh-CN"/>
              <a:t>财政拨款收、支决算总计变动情况</a:t>
            </a:r>
            <a:endParaRPr lang="zh-CN"/>
          </a:p>
        </c:rich>
      </c:tx>
      <c:layout/>
      <c:overlay val="false"/>
      <c:spPr>
        <a:noFill/>
        <a:ln>
          <a:noFill/>
        </a:ln>
        <a:effectLst/>
      </c:spPr>
    </c:title>
    <c:autoTitleDeleted val="false"/>
    <c:plotArea>
      <c:layout/>
      <c:barChart>
        <c:barDir val="col"/>
        <c:grouping val="clustered"/>
        <c:varyColors val="false"/>
        <c:ser>
          <c:idx val="0"/>
          <c:order val="0"/>
          <c:tx>
            <c:strRef>
              <c:f>Sheet1!$B$1</c:f>
              <c:strCache>
                <c:ptCount val="1"/>
                <c:pt idx="0">
                  <c:v>2022年</c:v>
                </c:pt>
              </c:strCache>
            </c:strRef>
          </c:tx>
          <c:spPr>
            <a:solidFill>
              <a:schemeClr val="accent1"/>
            </a:solidFill>
            <a:ln>
              <a:noFill/>
            </a:ln>
            <a:effectLst/>
          </c:spPr>
          <c:invertIfNegative val="false"/>
          <c:dLbls>
            <c:spPr>
              <a:noFill/>
              <a:ln>
                <a:noFill/>
              </a:ln>
              <a:effectLst/>
            </c:spPr>
            <c:txPr>
              <a:bodyPr rot="0" spcFirstLastPara="1" vertOverflow="ellipsis" vert="horz" wrap="square" lIns="38100" tIns="19050" rIns="38100" bIns="19050" anchor="ctr" anchorCtr="true">
                <a:spAutoFit/>
              </a:bodyPr>
              <a:lstStyle/>
              <a:p>
                <a:pPr>
                  <a:defRPr lang="zh-CN" sz="900" b="0" i="0" u="none" strike="noStrike" kern="1200" baseline="0">
                    <a:solidFill>
                      <a:schemeClr val="dk1">
                        <a:lumMod val="75000"/>
                        <a:lumOff val="25000"/>
                      </a:schemeClr>
                    </a:solidFill>
                    <a:latin typeface="+mn-lt"/>
                    <a:ea typeface="+mn-ea"/>
                    <a:cs typeface="+mn-cs"/>
                  </a:defRPr>
                </a:pPr>
              </a:p>
            </c:txPr>
            <c:dLblPos val="in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dk1">
                          <a:lumMod val="35000"/>
                          <a:lumOff val="65000"/>
                        </a:schemeClr>
                      </a:solidFill>
                      <a:prstDash val="solid"/>
                      <a:round/>
                    </a:ln>
                    <a:effectLst/>
                  </c:spPr>
                </c15:leaderLines>
              </c:ext>
            </c:extLst>
          </c:dLbls>
          <c:cat>
            <c:strRef>
              <c:f>Sheet1!$A$2</c:f>
              <c:strCache>
                <c:ptCount val="1"/>
                <c:pt idx="0">
                  <c:v>财政拨款收、支</c:v>
                </c:pt>
              </c:strCache>
            </c:strRef>
          </c:cat>
          <c:val>
            <c:numRef>
              <c:f>Sheet1!$B$2</c:f>
              <c:numCache>
                <c:formatCode>General</c:formatCode>
                <c:ptCount val="1"/>
                <c:pt idx="0">
                  <c:v>175.2</c:v>
                </c:pt>
              </c:numCache>
            </c:numRef>
          </c:val>
        </c:ser>
        <c:ser>
          <c:idx val="1"/>
          <c:order val="1"/>
          <c:tx>
            <c:strRef>
              <c:f>Sheet1!$C$1</c:f>
              <c:strCache>
                <c:ptCount val="1"/>
                <c:pt idx="0">
                  <c:v>2023年</c:v>
                </c:pt>
              </c:strCache>
            </c:strRef>
          </c:tx>
          <c:spPr>
            <a:solidFill>
              <a:schemeClr val="accent2"/>
            </a:solidFill>
            <a:ln>
              <a:noFill/>
            </a:ln>
            <a:effectLst/>
          </c:spPr>
          <c:invertIfNegative val="false"/>
          <c:dLbls>
            <c:spPr>
              <a:noFill/>
              <a:ln>
                <a:noFill/>
              </a:ln>
              <a:effectLst/>
            </c:spPr>
            <c:txPr>
              <a:bodyPr rot="0" spcFirstLastPara="1" vertOverflow="ellipsis" vert="horz" wrap="square" lIns="38100" tIns="19050" rIns="38100" bIns="19050" anchor="ctr" anchorCtr="true">
                <a:spAutoFit/>
              </a:bodyPr>
              <a:lstStyle/>
              <a:p>
                <a:pPr>
                  <a:defRPr lang="zh-CN" sz="900" b="0" i="0" u="none" strike="noStrike" kern="1200" baseline="0">
                    <a:solidFill>
                      <a:schemeClr val="dk1">
                        <a:lumMod val="75000"/>
                        <a:lumOff val="25000"/>
                      </a:schemeClr>
                    </a:solidFill>
                    <a:latin typeface="+mn-lt"/>
                    <a:ea typeface="+mn-ea"/>
                    <a:cs typeface="+mn-cs"/>
                  </a:defRPr>
                </a:pPr>
              </a:p>
            </c:txPr>
            <c:dLblPos val="in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dk1">
                          <a:lumMod val="35000"/>
                          <a:lumOff val="65000"/>
                        </a:schemeClr>
                      </a:solidFill>
                      <a:prstDash val="solid"/>
                      <a:round/>
                    </a:ln>
                    <a:effectLst/>
                  </c:spPr>
                </c15:leaderLines>
              </c:ext>
            </c:extLst>
          </c:dLbls>
          <c:cat>
            <c:strRef>
              <c:f>Sheet1!$A$2</c:f>
              <c:strCache>
                <c:ptCount val="1"/>
                <c:pt idx="0">
                  <c:v>财政拨款收、支</c:v>
                </c:pt>
              </c:strCache>
            </c:strRef>
          </c:cat>
          <c:val>
            <c:numRef>
              <c:f>Sheet1!$C$2</c:f>
              <c:numCache>
                <c:formatCode>General</c:formatCode>
                <c:ptCount val="1"/>
                <c:pt idx="0">
                  <c:v>224.83</c:v>
                </c:pt>
              </c:numCache>
            </c:numRef>
          </c:val>
        </c:ser>
        <c:dLbls>
          <c:showLegendKey val="false"/>
          <c:showVal val="true"/>
          <c:showCatName val="false"/>
          <c:showSerName val="false"/>
          <c:showPercent val="false"/>
          <c:showBubbleSize val="false"/>
        </c:dLbls>
        <c:gapWidth val="267"/>
        <c:overlap val="-43"/>
        <c:axId val="164654080"/>
        <c:axId val="164659968"/>
      </c:barChart>
      <c:catAx>
        <c:axId val="164654080"/>
        <c:scaling>
          <c:orientation val="minMax"/>
        </c:scaling>
        <c:delete val="false"/>
        <c:axPos val="b"/>
        <c:majorGridlines>
          <c:spPr>
            <a:ln w="9525" cap="flat" cmpd="sng" algn="ctr">
              <a:solidFill>
                <a:schemeClr val="dk1">
                  <a:lumMod val="15000"/>
                  <a:lumOff val="85000"/>
                </a:schemeClr>
              </a:solidFill>
              <a:prstDash val="solid"/>
              <a:round/>
            </a:ln>
            <a:effectLst/>
          </c:spPr>
        </c:majorGridlines>
        <c:numFmt formatCode="General" sourceLinked="true"/>
        <c:majorTickMark val="none"/>
        <c:minorTickMark val="none"/>
        <c:tickLblPos val="nextTo"/>
        <c:spPr>
          <a:noFill/>
          <a:ln w="9525" cap="flat" cmpd="sng" algn="ctr">
            <a:solidFill>
              <a:schemeClr val="dk1">
                <a:lumMod val="15000"/>
                <a:lumOff val="85000"/>
              </a:schemeClr>
            </a:solidFill>
            <a:prstDash val="solid"/>
            <a:round/>
          </a:ln>
          <a:effectLst/>
        </c:spPr>
        <c:txPr>
          <a:bodyPr rot="-60000000" spcFirstLastPara="1" vertOverflow="ellipsis" vert="horz" wrap="square" anchor="ctr" anchorCtr="true"/>
          <a:lstStyle/>
          <a:p>
            <a:pPr>
              <a:defRPr lang="zh-CN" sz="900" b="0" i="0" u="none" strike="noStrike" kern="1200" cap="none" spc="0" normalizeH="0" baseline="0">
                <a:solidFill>
                  <a:schemeClr val="dk1">
                    <a:lumMod val="65000"/>
                    <a:lumOff val="35000"/>
                  </a:schemeClr>
                </a:solidFill>
                <a:latin typeface="+mn-lt"/>
                <a:ea typeface="+mn-ea"/>
                <a:cs typeface="+mn-cs"/>
              </a:defRPr>
            </a:pPr>
          </a:p>
        </c:txPr>
        <c:crossAx val="164659968"/>
        <c:crosses val="autoZero"/>
        <c:auto val="true"/>
        <c:lblAlgn val="ctr"/>
        <c:lblOffset val="100"/>
        <c:noMultiLvlLbl val="false"/>
      </c:catAx>
      <c:valAx>
        <c:axId val="164659968"/>
        <c:scaling>
          <c:orientation val="minMax"/>
        </c:scaling>
        <c:delete val="false"/>
        <c:axPos val="l"/>
        <c:majorGridlines>
          <c:spPr>
            <a:ln w="9525" cap="flat" cmpd="sng" algn="ctr">
              <a:solidFill>
                <a:schemeClr val="dk1">
                  <a:lumMod val="15000"/>
                  <a:lumOff val="85000"/>
                </a:schemeClr>
              </a:solidFill>
              <a:prstDash val="solid"/>
              <a:round/>
            </a:ln>
            <a:effectLst/>
          </c:spPr>
        </c:majorGridlines>
        <c:numFmt formatCode="General" sourceLinked="true"/>
        <c:majorTickMark val="none"/>
        <c:minorTickMark val="none"/>
        <c:tickLblPos val="nextTo"/>
        <c:spPr>
          <a:noFill/>
          <a:ln w="9525" cap="flat" cmpd="sng" algn="ctr">
            <a:noFill/>
            <a:prstDash val="solid"/>
            <a:round/>
          </a:ln>
          <a:effectLst/>
        </c:spPr>
        <c:txPr>
          <a:bodyPr rot="-60000000" spcFirstLastPara="1" vertOverflow="ellipsis" vert="horz" wrap="square" anchor="ctr" anchorCtr="true"/>
          <a:lstStyle/>
          <a:p>
            <a:pPr>
              <a:defRPr lang="zh-CN" sz="900" b="0" i="0" u="none" strike="noStrike" kern="1200" baseline="0">
                <a:solidFill>
                  <a:schemeClr val="dk1">
                    <a:lumMod val="65000"/>
                    <a:lumOff val="35000"/>
                  </a:schemeClr>
                </a:solidFill>
                <a:latin typeface="+mn-lt"/>
                <a:ea typeface="+mn-ea"/>
                <a:cs typeface="+mn-cs"/>
              </a:defRPr>
            </a:pPr>
          </a:p>
        </c:txPr>
        <c:crossAx val="164654080"/>
        <c:crosses val="autoZero"/>
        <c:crossBetween val="between"/>
      </c:valAx>
      <c:spPr>
        <a:pattFill prst="ltDnDiag">
          <a:fgClr>
            <a:schemeClr val="dk1">
              <a:lumMod val="15000"/>
              <a:lumOff val="85000"/>
            </a:schemeClr>
          </a:fgClr>
          <a:bgClr>
            <a:schemeClr val="lt1"/>
          </a:bgClr>
        </a:pattFill>
        <a:ln>
          <a:noFill/>
        </a:ln>
        <a:effectLst/>
      </c:spPr>
    </c:plotArea>
    <c:legend>
      <c:legendPos val="b"/>
      <c:layout/>
      <c:overlay val="false"/>
      <c:spPr>
        <a:noFill/>
        <a:ln>
          <a:noFill/>
        </a:ln>
        <a:effectLst/>
      </c:spPr>
      <c:txPr>
        <a:bodyPr rot="0" spcFirstLastPara="1" vertOverflow="ellipsis" vert="horz" wrap="square" anchor="ctr" anchorCtr="true"/>
        <a:lstStyle/>
        <a:p>
          <a:pPr>
            <a:defRPr lang="zh-CN" sz="900" b="0" i="0" u="none" strike="noStrike" kern="1200" baseline="0">
              <a:solidFill>
                <a:schemeClr val="dk1">
                  <a:lumMod val="65000"/>
                  <a:lumOff val="35000"/>
                </a:schemeClr>
              </a:solidFill>
              <a:latin typeface="+mn-lt"/>
              <a:ea typeface="+mn-ea"/>
              <a:cs typeface="+mn-cs"/>
            </a:defRPr>
          </a:pPr>
        </a:p>
      </c:txPr>
    </c:legend>
    <c:plotVisOnly val="true"/>
    <c:dispBlanksAs val="gap"/>
    <c:showDLblsOverMax val="false"/>
  </c:chart>
  <c:spPr>
    <a:solidFill>
      <a:schemeClr val="lt1"/>
    </a:solidFill>
    <a:ln w="9525" cap="flat" cmpd="sng" algn="ctr">
      <a:solidFill>
        <a:schemeClr val="dk1">
          <a:lumMod val="15000"/>
          <a:lumOff val="85000"/>
        </a:schemeClr>
      </a:solidFill>
      <a:prstDash val="solid"/>
      <a:round/>
    </a:ln>
    <a:effectLst/>
  </c:spPr>
  <c:txPr>
    <a:bodyPr/>
    <a:lstStyle/>
    <a:p>
      <a:pPr>
        <a:defRPr lang="zh-CN"/>
      </a:pPr>
    </a:p>
  </c:txPr>
  <c:externalData r:id="rId1">
    <c:autoUpdate val="false"/>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true"/>
          <a:lstStyle/>
          <a:p>
            <a:pPr>
              <a:defRPr lang="zh-CN" sz="1400" b="0" i="0" u="none" strike="noStrike" kern="1200" spc="0" baseline="0">
                <a:solidFill>
                  <a:schemeClr val="tx1">
                    <a:lumMod val="65000"/>
                    <a:lumOff val="35000"/>
                  </a:schemeClr>
                </a:solidFill>
                <a:latin typeface="+mn-lt"/>
                <a:ea typeface="+mn-ea"/>
                <a:cs typeface="+mn-cs"/>
              </a:defRPr>
            </a:pPr>
            <a:r>
              <a:rPr lang="zh-CN"/>
              <a:t>一般公共预算财政拨款支出决算变动情况</a:t>
            </a:r>
            <a:endParaRPr lang="zh-CN"/>
          </a:p>
        </c:rich>
      </c:tx>
      <c:layout/>
      <c:overlay val="false"/>
      <c:spPr>
        <a:noFill/>
        <a:ln>
          <a:noFill/>
        </a:ln>
        <a:effectLst/>
      </c:spPr>
    </c:title>
    <c:autoTitleDeleted val="false"/>
    <c:plotArea>
      <c:layout/>
      <c:barChart>
        <c:barDir val="col"/>
        <c:grouping val="clustered"/>
        <c:varyColors val="false"/>
        <c:ser>
          <c:idx val="0"/>
          <c:order val="0"/>
          <c:tx>
            <c:strRef>
              <c:f>Sheet1!$B$1</c:f>
              <c:strCache>
                <c:ptCount val="1"/>
                <c:pt idx="0">
                  <c:v>2022年</c:v>
                </c:pt>
              </c:strCache>
            </c:strRef>
          </c:tx>
          <c:spPr>
            <a:solidFill>
              <a:schemeClr val="accent1"/>
            </a:solidFill>
            <a:ln>
              <a:noFill/>
            </a:ln>
            <a:effectLst/>
          </c:spPr>
          <c:invertIfNegative val="false"/>
          <c:dLbls>
            <c:spPr>
              <a:noFill/>
              <a:ln>
                <a:noFill/>
              </a:ln>
              <a:effectLst/>
            </c:spPr>
            <c:txPr>
              <a:bodyPr rot="0" spcFirstLastPara="1" vertOverflow="ellipsis" vert="horz" wrap="square" lIns="38100" tIns="19050" rIns="38100" bIns="19050" anchor="ctr" anchorCtr="true">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prstDash val="solid"/>
                      <a:round/>
                    </a:ln>
                    <a:effectLst/>
                  </c:spPr>
                </c15:leaderLines>
              </c:ext>
            </c:extLst>
          </c:dLbls>
          <c:cat>
            <c:strRef>
              <c:f>Sheet1!$A$2</c:f>
              <c:strCache>
                <c:ptCount val="1"/>
                <c:pt idx="0">
                  <c:v>一般公共预算财政拨款支出</c:v>
                </c:pt>
              </c:strCache>
            </c:strRef>
          </c:cat>
          <c:val>
            <c:numRef>
              <c:f>Sheet1!$B$2</c:f>
              <c:numCache>
                <c:formatCode>General</c:formatCode>
                <c:ptCount val="1"/>
                <c:pt idx="0">
                  <c:v>175.2</c:v>
                </c:pt>
              </c:numCache>
            </c:numRef>
          </c:val>
        </c:ser>
        <c:ser>
          <c:idx val="1"/>
          <c:order val="1"/>
          <c:tx>
            <c:strRef>
              <c:f>Sheet1!$C$1</c:f>
              <c:strCache>
                <c:ptCount val="1"/>
                <c:pt idx="0">
                  <c:v>2023年</c:v>
                </c:pt>
              </c:strCache>
            </c:strRef>
          </c:tx>
          <c:spPr>
            <a:solidFill>
              <a:schemeClr val="accent2"/>
            </a:solidFill>
            <a:ln>
              <a:noFill/>
            </a:ln>
            <a:effectLst/>
          </c:spPr>
          <c:invertIfNegative val="false"/>
          <c:dLbls>
            <c:spPr>
              <a:noFill/>
              <a:ln>
                <a:noFill/>
              </a:ln>
              <a:effectLst/>
            </c:spPr>
            <c:txPr>
              <a:bodyPr rot="0" spcFirstLastPara="1" vertOverflow="ellipsis" vert="horz" wrap="square" lIns="38100" tIns="19050" rIns="38100" bIns="19050" anchor="ctr" anchorCtr="true">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prstDash val="solid"/>
                      <a:round/>
                    </a:ln>
                    <a:effectLst/>
                  </c:spPr>
                </c15:leaderLines>
              </c:ext>
            </c:extLst>
          </c:dLbls>
          <c:cat>
            <c:strRef>
              <c:f>Sheet1!$A$2</c:f>
              <c:strCache>
                <c:ptCount val="1"/>
                <c:pt idx="0">
                  <c:v>一般公共预算财政拨款支出</c:v>
                </c:pt>
              </c:strCache>
            </c:strRef>
          </c:cat>
          <c:val>
            <c:numRef>
              <c:f>Sheet1!$C$2</c:f>
              <c:numCache>
                <c:formatCode>General</c:formatCode>
                <c:ptCount val="1"/>
                <c:pt idx="0">
                  <c:v>224.83</c:v>
                </c:pt>
              </c:numCache>
            </c:numRef>
          </c:val>
        </c:ser>
        <c:dLbls>
          <c:showLegendKey val="false"/>
          <c:showVal val="true"/>
          <c:showCatName val="false"/>
          <c:showSerName val="false"/>
          <c:showPercent val="false"/>
          <c:showBubbleSize val="false"/>
        </c:dLbls>
        <c:gapWidth val="219"/>
        <c:overlap val="-27"/>
        <c:axId val="164693888"/>
        <c:axId val="164695424"/>
      </c:barChart>
      <c:catAx>
        <c:axId val="164693888"/>
        <c:scaling>
          <c:orientation val="minMax"/>
        </c:scaling>
        <c:delete val="false"/>
        <c:axPos val="b"/>
        <c:numFmt formatCode="General" sourceLinked="true"/>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64695424"/>
        <c:crosses val="autoZero"/>
        <c:auto val="true"/>
        <c:lblAlgn val="ctr"/>
        <c:lblOffset val="100"/>
        <c:noMultiLvlLbl val="false"/>
      </c:catAx>
      <c:valAx>
        <c:axId val="164695424"/>
        <c:scaling>
          <c:orientation val="minMax"/>
        </c:scaling>
        <c:delete val="false"/>
        <c:axPos val="l"/>
        <c:majorGridlines>
          <c:spPr>
            <a:ln w="9525" cap="flat" cmpd="sng" algn="ctr">
              <a:solidFill>
                <a:schemeClr val="tx1">
                  <a:lumMod val="15000"/>
                  <a:lumOff val="85000"/>
                </a:schemeClr>
              </a:solidFill>
              <a:prstDash val="solid"/>
              <a:round/>
            </a:ln>
            <a:effectLst/>
          </c:spPr>
        </c:majorGridlines>
        <c:numFmt formatCode="General" sourceLinked="true"/>
        <c:majorTickMark val="none"/>
        <c:minorTickMark val="none"/>
        <c:tickLblPos val="nextTo"/>
        <c:spPr>
          <a:noFill/>
          <a:ln w="9525" cap="flat" cmpd="sng" algn="ctr">
            <a:noFill/>
            <a:prstDash val="solid"/>
            <a:round/>
          </a:ln>
          <a:effectLst/>
        </c:spPr>
        <c:txPr>
          <a:bodyPr rot="-6000000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64693888"/>
        <c:crosses val="autoZero"/>
        <c:crossBetween val="between"/>
      </c:valAx>
      <c:spPr>
        <a:noFill/>
        <a:ln>
          <a:noFill/>
        </a:ln>
        <a:effectLst/>
      </c:spPr>
    </c:plotArea>
    <c:legend>
      <c:legendPos val="b"/>
      <c:layout/>
      <c:overlay val="false"/>
      <c:spPr>
        <a:noFill/>
        <a:ln>
          <a:noFill/>
        </a:ln>
        <a:effectLst/>
      </c:spPr>
      <c:txPr>
        <a:bodyPr rot="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false"/>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a:defRPr lang="zh-CN" sz="1800" b="1" i="0" u="none" strike="noStrike" kern="1200" baseline="0">
                <a:solidFill>
                  <a:schemeClr val="tx1"/>
                </a:solidFill>
                <a:latin typeface="+mn-lt"/>
                <a:ea typeface="+mn-ea"/>
                <a:cs typeface="+mn-cs"/>
              </a:defRPr>
            </a:pPr>
            <a:r>
              <a:rPr lang="zh-CN" sz="1800" b="0" i="0" baseline="0"/>
              <a:t>一般公共预算财政拨款支出决算结构</a:t>
            </a:r>
            <a:endParaRPr lang="en-US" sz="1800" b="0" i="0" baseline="0"/>
          </a:p>
        </c:rich>
      </c:tx>
      <c:layout>
        <c:manualLayout>
          <c:xMode val="edge"/>
          <c:yMode val="edge"/>
          <c:x val="0.145570126322077"/>
          <c:y val="0.0258076429807603"/>
        </c:manualLayout>
      </c:layout>
      <c:overlay val="false"/>
    </c:title>
    <c:autoTitleDeleted val="false"/>
    <c:plotArea>
      <c:layout/>
      <c:pieChart>
        <c:varyColors val="true"/>
        <c:ser>
          <c:idx val="0"/>
          <c:order val="0"/>
          <c:tx>
            <c:strRef>
              <c:f>Sheet1!$B$1</c:f>
              <c:strCache>
                <c:ptCount val="1"/>
                <c:pt idx="0">
                  <c:v>销售额</c:v>
                </c:pt>
              </c:strCache>
            </c:strRef>
          </c:tx>
          <c:explosion val="0"/>
          <c:dPt>
            <c:idx val="0"/>
            <c:bubble3D val="false"/>
          </c:dPt>
          <c:dPt>
            <c:idx val="1"/>
            <c:bubble3D val="false"/>
          </c:dPt>
          <c:dPt>
            <c:idx val="2"/>
            <c:bubble3D val="false"/>
          </c:dPt>
          <c:dPt>
            <c:idx val="3"/>
            <c:bubble3D val="false"/>
          </c:dPt>
          <c:dPt>
            <c:idx val="4"/>
            <c:bubble3D val="false"/>
          </c:dPt>
          <c:dLbls>
            <c:dLbl>
              <c:idx val="0"/>
              <c:layout/>
              <c:dLblPos val="bestFit"/>
              <c:showLegendKey val="false"/>
              <c:showVal val="true"/>
              <c:showCatName val="false"/>
              <c:showSerName val="false"/>
              <c:showPercent val="false"/>
              <c:showBubbleSize val="false"/>
              <c:extLst>
                <c:ext xmlns:c15="http://schemas.microsoft.com/office/drawing/2012/chart" uri="{CE6537A1-D6FC-4f65-9D91-7224C49458BB}"/>
              </c:extLst>
            </c:dLbl>
            <c:dLbl>
              <c:idx val="1"/>
              <c:layout/>
              <c:dLblPos val="bestFit"/>
              <c:showLegendKey val="false"/>
              <c:showVal val="true"/>
              <c:showCatName val="false"/>
              <c:showSerName val="false"/>
              <c:showPercent val="false"/>
              <c:showBubbleSize val="false"/>
              <c:extLst>
                <c:ext xmlns:c15="http://schemas.microsoft.com/office/drawing/2012/chart" uri="{CE6537A1-D6FC-4f65-9D91-7224C49458BB}"/>
              </c:extLst>
            </c:dLbl>
            <c:dLbl>
              <c:idx val="2"/>
              <c:layout/>
              <c:dLblPos val="bestFit"/>
              <c:showLegendKey val="false"/>
              <c:showVal val="true"/>
              <c:showCatName val="false"/>
              <c:showSerName val="false"/>
              <c:showPercent val="false"/>
              <c:showBubbleSize val="false"/>
              <c:extLst>
                <c:ext xmlns:c15="http://schemas.microsoft.com/office/drawing/2012/chart" uri="{CE6537A1-D6FC-4f65-9D91-7224C49458BB}"/>
              </c:extLst>
            </c:dLbl>
            <c:dLbl>
              <c:idx val="3"/>
              <c:layout/>
              <c:dLblPos val="bestFit"/>
              <c:showLegendKey val="false"/>
              <c:showVal val="true"/>
              <c:showCatName val="false"/>
              <c:showSerName val="false"/>
              <c:showPercent val="false"/>
              <c:showBubbleSize val="false"/>
              <c:extLst>
                <c:ext xmlns:c15="http://schemas.microsoft.com/office/drawing/2012/chart" uri="{CE6537A1-D6FC-4f65-9D91-7224C49458BB}"/>
              </c:extLst>
            </c:dLbl>
            <c:dLbl>
              <c:idx val="4"/>
              <c:layout/>
              <c:dLblPos val="bestFit"/>
              <c:showLegendKey val="false"/>
              <c:showVal val="true"/>
              <c:showCatName val="false"/>
              <c:showSerName val="false"/>
              <c:showPercent val="false"/>
              <c:showBubbleSize val="false"/>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solidFill>
                    <a:latin typeface="+mn-lt"/>
                    <a:ea typeface="+mn-ea"/>
                    <a:cs typeface="+mn-cs"/>
                  </a:defRPr>
                </a:pPr>
              </a:p>
            </c:txPr>
            <c:dLblPos val="bestFit"/>
            <c:showLegendKey val="false"/>
            <c:showVal val="false"/>
            <c:showCatName val="false"/>
            <c:showSerName val="false"/>
            <c:showPercent val="false"/>
            <c:showBubbleSize val="false"/>
            <c:showLeaderLines val="true"/>
            <c:extLst>
              <c:ext xmlns:c15="http://schemas.microsoft.com/office/drawing/2012/chart" uri="{CE6537A1-D6FC-4f65-9D91-7224C49458BB}">
                <c15:layout/>
                <c15:showLeaderLines val="true"/>
                <c15:leaderLines/>
              </c:ext>
            </c:extLst>
          </c:dLbls>
          <c:cat>
            <c:strRef>
              <c:f>Sheet1!$A$2:$A$6</c:f>
              <c:strCache>
                <c:ptCount val="5"/>
                <c:pt idx="0">
                  <c:v>一般公共服务支出</c:v>
                </c:pt>
                <c:pt idx="1">
                  <c:v>文化体育与传媒支出</c:v>
                </c:pt>
                <c:pt idx="2">
                  <c:v>社会保障和就业支出</c:v>
                </c:pt>
                <c:pt idx="3">
                  <c:v>卫生健康支出</c:v>
                </c:pt>
                <c:pt idx="4">
                  <c:v>住房保障支出</c:v>
                </c:pt>
              </c:strCache>
            </c:strRef>
          </c:cat>
          <c:val>
            <c:numRef>
              <c:f>Sheet1!$B$2:$B$6</c:f>
              <c:numCache>
                <c:formatCode>General</c:formatCode>
                <c:ptCount val="5"/>
                <c:pt idx="0">
                  <c:v>96.15</c:v>
                </c:pt>
                <c:pt idx="1">
                  <c:v>105.63</c:v>
                </c:pt>
                <c:pt idx="2">
                  <c:v>10.93</c:v>
                </c:pt>
                <c:pt idx="3">
                  <c:v>3.64</c:v>
                </c:pt>
                <c:pt idx="4">
                  <c:v>8.47</c:v>
                </c:pt>
              </c:numCache>
            </c:numRef>
          </c:val>
        </c:ser>
        <c:dLbls>
          <c:showLegendKey val="false"/>
          <c:showVal val="false"/>
          <c:showCatName val="false"/>
          <c:showSerName val="false"/>
          <c:showPercent val="false"/>
          <c:showBubbleSize val="false"/>
          <c:showLeaderLines val="true"/>
        </c:dLbls>
        <c:firstSliceAng val="0"/>
      </c:pieChart>
    </c:plotArea>
    <c:legend>
      <c:legendPos val="r"/>
      <c:layout/>
      <c:overlay val="false"/>
      <c:txPr>
        <a:bodyPr rot="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legend>
    <c:plotVisOnly val="true"/>
    <c:dispBlanksAs val="gap"/>
    <c:showDLblsOverMax val="false"/>
  </c:chart>
  <c:txPr>
    <a:bodyPr/>
    <a:lstStyle/>
    <a:p>
      <a:pPr>
        <a:defRPr lang="zh-CN"/>
      </a:pPr>
    </a:p>
  </c:txPr>
  <c:externalData r:id="rId1">
    <c:autoUpdate val="false"/>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true"/>
          <a:lstStyle/>
          <a:p>
            <a:pPr>
              <a:defRPr lang="zh-CN" sz="1400" b="0" i="0" u="none" strike="noStrike" kern="1200" spc="0" baseline="0">
                <a:solidFill>
                  <a:schemeClr val="tx1">
                    <a:lumMod val="65000"/>
                    <a:lumOff val="35000"/>
                  </a:schemeClr>
                </a:solidFill>
                <a:latin typeface="+mn-lt"/>
                <a:ea typeface="+mn-ea"/>
                <a:cs typeface="+mn-cs"/>
              </a:defRPr>
            </a:pPr>
            <a:r>
              <a:rPr lang="zh-CN" altLang="zh-CN" sz="1400" b="0" i="0" u="none" strike="noStrike" baseline="0">
                <a:effectLst/>
              </a:rPr>
              <a:t>“三公”经费财政拨款支出结构</a:t>
            </a:r>
            <a:endParaRPr lang="zh-CN" altLang="en-US"/>
          </a:p>
        </c:rich>
      </c:tx>
      <c:layout>
        <c:manualLayout>
          <c:xMode val="edge"/>
          <c:yMode val="edge"/>
          <c:x val="0.246524418391415"/>
          <c:y val="0.0254137149348265"/>
        </c:manualLayout>
      </c:layout>
      <c:overlay val="false"/>
      <c:spPr>
        <a:noFill/>
        <a:ln>
          <a:noFill/>
        </a:ln>
        <a:effectLst/>
      </c:spPr>
    </c:title>
    <c:autoTitleDeleted val="false"/>
    <c:plotArea>
      <c:layout/>
      <c:pieChart>
        <c:varyColors val="true"/>
        <c:ser>
          <c:idx val="0"/>
          <c:order val="0"/>
          <c:tx>
            <c:strRef>
              <c:f>Sheet1!$B$1</c:f>
              <c:strCache>
                <c:ptCount val="1"/>
                <c:pt idx="0">
                  <c:v>销售额</c:v>
                </c:pt>
              </c:strCache>
            </c:strRef>
          </c:tx>
          <c:explosion val="62"/>
          <c:dPt>
            <c:idx val="0"/>
            <c:bubble3D val="false"/>
            <c:spPr>
              <a:solidFill>
                <a:schemeClr val="accent1"/>
              </a:solidFill>
              <a:ln w="25400">
                <a:solidFill>
                  <a:schemeClr val="lt1"/>
                </a:solidFill>
              </a:ln>
              <a:effectLst/>
              <a:scene3d>
                <a:camera prst="orthographicFront"/>
                <a:lightRig rig="threePt" dir="t"/>
              </a:scene3d>
              <a:sp3d contourW="25400">
                <a:contourClr>
                  <a:schemeClr val="lt1"/>
                </a:contourClr>
              </a:sp3d>
            </c:spPr>
          </c:dPt>
          <c:dPt>
            <c:idx val="1"/>
            <c:bubble3D val="false"/>
            <c:spPr>
              <a:solidFill>
                <a:schemeClr val="accent2"/>
              </a:solidFill>
              <a:ln w="25400">
                <a:solidFill>
                  <a:schemeClr val="lt1"/>
                </a:solidFill>
              </a:ln>
              <a:effectLst/>
              <a:scene3d>
                <a:camera prst="orthographicFront"/>
                <a:lightRig rig="threePt" dir="t"/>
              </a:scene3d>
              <a:sp3d contourW="25400">
                <a:contourClr>
                  <a:schemeClr val="lt1"/>
                </a:contourClr>
              </a:sp3d>
            </c:spPr>
          </c:dPt>
          <c:dPt>
            <c:idx val="2"/>
            <c:bubble3D val="false"/>
            <c:spPr>
              <a:solidFill>
                <a:schemeClr val="accent3"/>
              </a:solidFill>
              <a:ln w="25400">
                <a:solidFill>
                  <a:schemeClr val="lt1"/>
                </a:solidFill>
              </a:ln>
              <a:effectLst/>
              <a:scene3d>
                <a:camera prst="orthographicFront"/>
                <a:lightRig rig="threePt" dir="t"/>
              </a:scene3d>
              <a:sp3d contourW="25400">
                <a:contourClr>
                  <a:schemeClr val="lt1"/>
                </a:contourClr>
              </a:sp3d>
            </c:spPr>
          </c:dPt>
          <c:dLbls>
            <c:dLbl>
              <c:idx val="0"/>
              <c:layout>
                <c:manualLayout>
                  <c:x val="-0.0301159106861686"/>
                  <c:y val="0.114361717206719"/>
                </c:manualLayout>
              </c:layout>
              <c:dLblPos val="outEnd"/>
              <c:showLegendKey val="false"/>
              <c:showVal val="false"/>
              <c:showCatName val="true"/>
              <c:showSerName val="false"/>
              <c:showPercent val="true"/>
              <c:showBubbleSize val="false"/>
              <c:separator>
</c:separator>
              <c:extLst>
                <c:ext xmlns:c15="http://schemas.microsoft.com/office/drawing/2012/chart" uri="{CE6537A1-D6FC-4f65-9D91-7224C49458BB}">
                  <c15:layout/>
                </c:ext>
              </c:extLst>
            </c:dLbl>
            <c:dLbl>
              <c:idx val="1"/>
              <c:layout>
                <c:manualLayout>
                  <c:x val="-0.19826050974143"/>
                  <c:y val="-0.0823874617668669"/>
                </c:manualLayout>
              </c:layout>
              <c:dLblPos val="bestFit"/>
              <c:showLegendKey val="false"/>
              <c:showVal val="false"/>
              <c:showCatName val="true"/>
              <c:showSerName val="false"/>
              <c:showPercent val="true"/>
              <c:showBubbleSize val="false"/>
              <c:separator>
</c:separator>
              <c:extLst>
                <c:ext xmlns:c15="http://schemas.microsoft.com/office/drawing/2012/chart" uri="{CE6537A1-D6FC-4f65-9D91-7224C49458BB}">
                  <c15:layout/>
                </c:ext>
              </c:extLst>
            </c:dLbl>
            <c:dLbl>
              <c:idx val="2"/>
              <c:layout>
                <c:manualLayout>
                  <c:x val="0.20077273790779"/>
                  <c:y val="0.181911504908816"/>
                </c:manualLayout>
              </c:layout>
              <c:dLblPos val="outEnd"/>
              <c:showLegendKey val="false"/>
              <c:showVal val="false"/>
              <c:showCatName val="true"/>
              <c:showSerName val="false"/>
              <c:showPercent val="true"/>
              <c:showBubbleSize val="false"/>
              <c:separator>
</c:separator>
              <c:extLst>
                <c:ext xmlns:c15="http://schemas.microsoft.com/office/drawing/2012/chart" uri="{CE6537A1-D6FC-4f65-9D91-7224C49458BB}">
                  <c15:layout/>
                </c:ext>
              </c:extLst>
            </c:dLbl>
            <c:numFmt formatCode="0.00%" sourceLinked="false"/>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true">
                <a:spAutoFit/>
              </a:bodyPr>
              <a:lstStyle/>
              <a:p>
                <a:pPr>
                  <a:defRPr lang="zh-CN" sz="900" b="0" i="0" u="none" strike="noStrike" kern="1200" baseline="0">
                    <a:solidFill>
                      <a:schemeClr val="dk1">
                        <a:lumMod val="65000"/>
                        <a:lumOff val="35000"/>
                      </a:schemeClr>
                    </a:solidFill>
                    <a:latin typeface="+mn-lt"/>
                    <a:ea typeface="+mn-ea"/>
                    <a:cs typeface="+mn-cs"/>
                  </a:defRPr>
                </a:pPr>
              </a:p>
            </c:txPr>
            <c:dLblPos val="outEnd"/>
            <c:showLegendKey val="false"/>
            <c:showVal val="false"/>
            <c:showCatName val="true"/>
            <c:showSerName val="false"/>
            <c:showPercent val="true"/>
            <c:showBubbleSize val="false"/>
            <c:showLeaderLines val="false"/>
            <c:extLst>
              <c:ext xmlns:c15="http://schemas.microsoft.com/office/drawing/2012/chart" uri="{CE6537A1-D6FC-4f65-9D91-7224C49458BB}">
                <c15:spPr xmlns:c15="http://schemas.microsoft.com/office/drawing/2012/chart">
                  <a:prstGeom prst="wedgeRectCallout">
                    <a:avLst/>
                  </a:prstGeom>
                  <a:noFill/>
                  <a:ln>
                    <a:noFill/>
                  </a:ln>
                </c15:spPr>
                <c15:layout/>
                <c15:showLeaderLines val="false"/>
                <c15:leaderLines/>
              </c:ext>
            </c:extLst>
          </c:dLbls>
          <c:cat>
            <c:strRef>
              <c:f>Sheet1!$A$2:$A$4</c:f>
              <c:strCache>
                <c:ptCount val="3"/>
                <c:pt idx="0">
                  <c:v>因公出国</c:v>
                </c:pt>
                <c:pt idx="1">
                  <c:v>公务接待费</c:v>
                </c:pt>
                <c:pt idx="2">
                  <c:v>公务用车购置及运行维护费</c:v>
                </c:pt>
              </c:strCache>
            </c:strRef>
          </c:cat>
          <c:val>
            <c:numRef>
              <c:f>Sheet1!$B$2:$B$4</c:f>
              <c:numCache>
                <c:formatCode>General</c:formatCode>
                <c:ptCount val="3"/>
                <c:pt idx="0">
                  <c:v>0</c:v>
                </c:pt>
                <c:pt idx="1">
                  <c:v>0.2</c:v>
                </c:pt>
                <c:pt idx="2">
                  <c:v>0</c:v>
                </c:pt>
              </c:numCache>
            </c:numRef>
          </c:val>
        </c:ser>
        <c:dLbls>
          <c:showLegendKey val="false"/>
          <c:showVal val="false"/>
          <c:showCatName val="true"/>
          <c:showSerName val="false"/>
          <c:showPercent val="true"/>
          <c:showBubbleSize val="false"/>
          <c:showLeaderLines val="true"/>
        </c:dLbls>
        <c:firstSliceAng val="15"/>
      </c:pieChart>
      <c:spPr>
        <a:noFill/>
        <a:ln>
          <a:noFill/>
        </a:ln>
        <a:effectLst/>
      </c:spPr>
    </c:plotArea>
    <c:legend>
      <c:legendPos val="b"/>
      <c:layout/>
      <c:overlay val="false"/>
      <c:spPr>
        <a:noFill/>
        <a:ln>
          <a:noFill/>
        </a:ln>
        <a:effectLst/>
      </c:spPr>
      <c:txPr>
        <a:bodyPr rot="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zero"/>
    <c:showDLblsOverMax val="false"/>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false"/>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四川省财政厅</Company>
  <Pages>33</Pages>
  <Words>13449</Words>
  <Characters>15242</Characters>
  <Lines>50</Lines>
  <Paragraphs>38</Paragraphs>
  <TotalTime>10</TotalTime>
  <ScaleCrop>false</ScaleCrop>
  <LinksUpToDate>false</LinksUpToDate>
  <CharactersWithSpaces>15621</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2020-08-09T09:49:00Z</dcterms:created>
  <dc:creator>曹颖</dc:creator>
  <cp:lastModifiedBy> </cp:lastModifiedBy>
  <cp:lastPrinted>2023-08-04T10:35:00Z</cp:lastPrinted>
  <dcterms:modified xsi:type="dcterms:W3CDTF">2024-10-16T10:20:36Z</dcterms:modified>
  <dc:title>四川省***</dc:title>
  <cp:revision>92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6B70361D626A4593B4A9C4A901EC4F63</vt:lpwstr>
  </property>
</Properties>
</file>